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77777777" w:rsidR="00AC5599" w:rsidRDefault="00AC5599" w:rsidP="00FD45CD">
      <w:pPr>
        <w:tabs>
          <w:tab w:val="right" w:pos="9630"/>
        </w:tabs>
        <w:spacing w:after="0"/>
        <w:rPr>
          <w:rFonts w:ascii="Arial" w:hAnsi="Arial" w:cs="Arial"/>
          <w:b/>
          <w:sz w:val="24"/>
        </w:rPr>
      </w:pPr>
    </w:p>
    <w:p w14:paraId="5F95E010" w14:textId="36AD6AC0" w:rsidR="00FD45CD" w:rsidRPr="00DA12F7" w:rsidRDefault="00FD45CD" w:rsidP="00FD45CD">
      <w:pPr>
        <w:tabs>
          <w:tab w:val="right" w:pos="9630"/>
        </w:tabs>
        <w:spacing w:after="0"/>
      </w:pPr>
      <w:r w:rsidRPr="00DA12F7">
        <w:rPr>
          <w:rFonts w:ascii="Arial" w:hAnsi="Arial" w:cs="Arial"/>
          <w:b/>
          <w:sz w:val="24"/>
        </w:rPr>
        <w:t xml:space="preserve">3GPP TSG RAN </w:t>
      </w:r>
      <w:r w:rsidR="00BF2CB9" w:rsidRPr="00DA12F7">
        <w:rPr>
          <w:rFonts w:ascii="Arial" w:hAnsi="Arial" w:cs="Arial"/>
          <w:b/>
          <w:sz w:val="24"/>
        </w:rPr>
        <w:t>WG</w:t>
      </w:r>
      <w:r w:rsidR="00BF2CB9">
        <w:rPr>
          <w:rFonts w:ascii="Arial" w:hAnsi="Arial" w:cs="Arial"/>
          <w:b/>
          <w:sz w:val="24"/>
        </w:rPr>
        <w:t>1</w:t>
      </w:r>
      <w:r w:rsidR="00BF2CB9" w:rsidRPr="00DA12F7">
        <w:rPr>
          <w:rFonts w:ascii="Arial" w:hAnsi="Arial" w:cs="Arial"/>
          <w:b/>
          <w:sz w:val="24"/>
        </w:rPr>
        <w:t xml:space="preserve"> </w:t>
      </w:r>
      <w:r w:rsidRPr="00DA12F7">
        <w:rPr>
          <w:rFonts w:ascii="Arial" w:hAnsi="Arial" w:cs="Arial"/>
          <w:b/>
          <w:sz w:val="24"/>
        </w:rPr>
        <w:t>#</w:t>
      </w:r>
      <w:r w:rsidR="009C46A3">
        <w:rPr>
          <w:rFonts w:ascii="Arial" w:hAnsi="Arial" w:cs="Arial"/>
          <w:b/>
          <w:sz w:val="24"/>
        </w:rPr>
        <w:t>89</w:t>
      </w:r>
      <w:r w:rsidRPr="00DA12F7">
        <w:rPr>
          <w:rFonts w:ascii="Arial" w:hAnsi="Arial" w:cs="Arial"/>
          <w:b/>
          <w:sz w:val="24"/>
        </w:rPr>
        <w:tab/>
      </w:r>
      <w:r w:rsidR="00116F59" w:rsidRPr="00116F59">
        <w:rPr>
          <w:rFonts w:ascii="Arial" w:hAnsi="Arial" w:cs="Arial"/>
          <w:b/>
          <w:sz w:val="24"/>
        </w:rPr>
        <w:t>R1-1708782</w:t>
      </w:r>
    </w:p>
    <w:p w14:paraId="684E15B4" w14:textId="6281F919" w:rsidR="00BF2CB9" w:rsidRPr="00DA12F7" w:rsidRDefault="009C46A3" w:rsidP="00BF2CB9">
      <w:pPr>
        <w:tabs>
          <w:tab w:val="right" w:pos="9630"/>
        </w:tabs>
        <w:spacing w:after="0"/>
        <w:rPr>
          <w:rFonts w:ascii="Arial" w:hAnsi="Arial" w:cs="Arial"/>
          <w:b/>
          <w:sz w:val="24"/>
          <w:szCs w:val="24"/>
        </w:rPr>
      </w:pPr>
      <w:r>
        <w:rPr>
          <w:rFonts w:ascii="Arial" w:hAnsi="Arial" w:cs="Arial"/>
          <w:b/>
          <w:sz w:val="24"/>
          <w:szCs w:val="24"/>
        </w:rPr>
        <w:t>May 15</w:t>
      </w:r>
      <w:r w:rsidRPr="00116F59">
        <w:rPr>
          <w:rFonts w:ascii="Arial" w:hAnsi="Arial" w:cs="Arial"/>
          <w:b/>
          <w:sz w:val="24"/>
          <w:szCs w:val="24"/>
          <w:vertAlign w:val="superscript"/>
        </w:rPr>
        <w:t>th</w:t>
      </w:r>
      <w:r w:rsidR="00BF2CB9">
        <w:rPr>
          <w:rFonts w:ascii="Arial" w:hAnsi="Arial" w:cs="Arial"/>
          <w:b/>
          <w:sz w:val="24"/>
          <w:szCs w:val="24"/>
        </w:rPr>
        <w:t>–</w:t>
      </w:r>
      <w:r>
        <w:rPr>
          <w:rFonts w:ascii="Arial" w:hAnsi="Arial" w:cs="Arial"/>
          <w:b/>
          <w:sz w:val="24"/>
          <w:szCs w:val="24"/>
        </w:rPr>
        <w:t>19</w:t>
      </w:r>
      <w:r w:rsidR="00BF2CB9" w:rsidRPr="0064244B">
        <w:rPr>
          <w:rFonts w:ascii="Arial" w:hAnsi="Arial" w:cs="Arial"/>
          <w:b/>
          <w:sz w:val="24"/>
          <w:szCs w:val="24"/>
          <w:vertAlign w:val="superscript"/>
        </w:rPr>
        <w:t>th</w:t>
      </w:r>
      <w:r w:rsidR="00BF2CB9" w:rsidRPr="00DA12F7">
        <w:rPr>
          <w:rFonts w:ascii="Arial" w:hAnsi="Arial" w:cs="Arial"/>
          <w:b/>
          <w:sz w:val="24"/>
          <w:szCs w:val="24"/>
        </w:rPr>
        <w:t>, 201</w:t>
      </w:r>
      <w:r w:rsidR="00A41C94">
        <w:rPr>
          <w:rFonts w:ascii="Arial" w:hAnsi="Arial" w:cs="Arial"/>
          <w:b/>
          <w:sz w:val="24"/>
          <w:szCs w:val="24"/>
        </w:rPr>
        <w:t>7</w:t>
      </w:r>
    </w:p>
    <w:p w14:paraId="16A38B76" w14:textId="7BCB3B57" w:rsidR="00BF2CB9" w:rsidRPr="00DA12F7" w:rsidRDefault="009C46A3" w:rsidP="00BF2CB9">
      <w:pPr>
        <w:rPr>
          <w:rFonts w:ascii="Arial" w:hAnsi="Arial" w:cs="Arial"/>
          <w:b/>
          <w:sz w:val="24"/>
          <w:szCs w:val="24"/>
        </w:rPr>
      </w:pPr>
      <w:r>
        <w:rPr>
          <w:rFonts w:ascii="Arial" w:hAnsi="Arial" w:cs="Arial"/>
          <w:b/>
          <w:sz w:val="24"/>
          <w:szCs w:val="24"/>
        </w:rPr>
        <w:t>Hangzhou</w:t>
      </w:r>
      <w:r w:rsidR="00BF2CB9">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EB07E21"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9C46A3">
        <w:rPr>
          <w:rFonts w:ascii="Arial" w:hAnsi="Arial"/>
          <w:sz w:val="24"/>
        </w:rPr>
        <w:t>6</w:t>
      </w:r>
      <w:r w:rsidR="000D4C5E">
        <w:rPr>
          <w:rFonts w:ascii="Arial" w:hAnsi="Arial"/>
          <w:sz w:val="24"/>
        </w:rPr>
        <w:t>.</w:t>
      </w:r>
      <w:r w:rsidR="00BF2CB9">
        <w:rPr>
          <w:rFonts w:ascii="Arial" w:hAnsi="Arial"/>
          <w:sz w:val="24"/>
        </w:rPr>
        <w:t>2</w:t>
      </w:r>
      <w:r w:rsidR="000D4C5E">
        <w:rPr>
          <w:rFonts w:ascii="Arial" w:hAnsi="Arial"/>
          <w:sz w:val="24"/>
        </w:rPr>
        <w:t>.</w:t>
      </w:r>
      <w:r w:rsidR="00965664">
        <w:rPr>
          <w:rFonts w:ascii="Arial" w:hAnsi="Arial"/>
          <w:sz w:val="24"/>
        </w:rPr>
        <w:t>1</w:t>
      </w:r>
      <w:r w:rsidR="000D4C5E">
        <w:rPr>
          <w:rFonts w:ascii="Arial" w:hAnsi="Arial"/>
          <w:sz w:val="24"/>
        </w:rPr>
        <w:t>.</w:t>
      </w:r>
      <w:r w:rsidR="00A41C94">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56DBDAA"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41C94">
        <w:rPr>
          <w:rFonts w:ascii="Arial" w:hAnsi="Arial"/>
          <w:sz w:val="24"/>
        </w:rPr>
        <w:t>Maximum TA Value and Processing Time for sTTI and 1ms TTI Operations</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1A925862" w:rsidR="004C7384" w:rsidRDefault="00A41C94" w:rsidP="00F30894">
      <w:pPr>
        <w:jc w:val="both"/>
      </w:pPr>
      <w:r>
        <w:t>In RAN1 #85</w:t>
      </w:r>
      <w:r w:rsidR="009C46A3">
        <w:t xml:space="preserve">, </w:t>
      </w:r>
      <w:r>
        <w:t>#86</w:t>
      </w:r>
      <w:r w:rsidR="009C46A3">
        <w:t xml:space="preserve"> and #88b,</w:t>
      </w:r>
      <w:r>
        <w:t xml:space="preserve"> the following agreements were reached on the determination of the maximum TA value and the processing timing for the sTTI and 1ms TTI operations, respectively:</w:t>
      </w:r>
    </w:p>
    <w:p w14:paraId="6B36ED74" w14:textId="7C151BF6" w:rsidR="00164190" w:rsidRDefault="00BA34BE" w:rsidP="00EF02B4">
      <w:pPr>
        <w:jc w:val="both"/>
      </w:pPr>
      <w:r w:rsidRPr="00EF02B4">
        <w:t>The minimum timing for UL grant to UL data and for DL data to DL HARQ is n +</w:t>
      </w:r>
      <w:r w:rsidR="00EF02B4">
        <w:t xml:space="preserve"> k sTTI for short TTI operation:</w:t>
      </w:r>
    </w:p>
    <w:p w14:paraId="19DADB20" w14:textId="50DE9531" w:rsidR="00EF02B4" w:rsidRPr="00EF02B4" w:rsidRDefault="00EF02B4" w:rsidP="00EF02B4">
      <w:pPr>
        <w:jc w:val="both"/>
        <w:rPr>
          <w:b/>
          <w:u w:val="single"/>
        </w:rPr>
      </w:pPr>
      <w:r w:rsidRPr="00116F59">
        <w:rPr>
          <w:b/>
          <w:highlight w:val="green"/>
          <w:u w:val="single"/>
        </w:rPr>
        <w:t>Agreements:</w:t>
      </w:r>
    </w:p>
    <w:p w14:paraId="35407A12" w14:textId="65CFD992" w:rsidR="00164190" w:rsidRPr="004B198C" w:rsidRDefault="00BA34BE" w:rsidP="00EF02B4">
      <w:pPr>
        <w:pStyle w:val="ListParagraph"/>
        <w:numPr>
          <w:ilvl w:val="0"/>
          <w:numId w:val="35"/>
        </w:numPr>
        <w:jc w:val="both"/>
        <w:rPr>
          <w:i/>
          <w:sz w:val="20"/>
        </w:rPr>
      </w:pPr>
      <w:r w:rsidRPr="004B198C">
        <w:rPr>
          <w:rFonts w:eastAsiaTheme="minorEastAsia"/>
          <w:i/>
          <w:sz w:val="20"/>
        </w:rPr>
        <w:t>Processing time &gt;= the legacy processing time linearly downscaled with TTI length</w:t>
      </w:r>
      <w:r w:rsidR="00EF02B4" w:rsidRPr="004B198C">
        <w:rPr>
          <w:rFonts w:eastAsiaTheme="minorEastAsia"/>
          <w:i/>
          <w:sz w:val="20"/>
        </w:rPr>
        <w:t>.</w:t>
      </w:r>
    </w:p>
    <w:p w14:paraId="0597D2FE" w14:textId="77777777" w:rsidR="00164190" w:rsidRPr="004B198C" w:rsidRDefault="00BA34BE" w:rsidP="00EF02B4">
      <w:pPr>
        <w:pStyle w:val="ListParagraph"/>
        <w:numPr>
          <w:ilvl w:val="1"/>
          <w:numId w:val="35"/>
        </w:numPr>
        <w:jc w:val="both"/>
        <w:rPr>
          <w:i/>
          <w:sz w:val="20"/>
        </w:rPr>
      </w:pPr>
      <w:r w:rsidRPr="004B198C">
        <w:rPr>
          <w:rFonts w:eastAsiaTheme="minorEastAsia"/>
          <w:i/>
          <w:sz w:val="20"/>
        </w:rPr>
        <w:t>4 &lt;= k &lt;= 8</w:t>
      </w:r>
    </w:p>
    <w:p w14:paraId="2C861492" w14:textId="77777777" w:rsidR="00164190" w:rsidRPr="004B198C" w:rsidRDefault="00BA34BE" w:rsidP="00EF02B4">
      <w:pPr>
        <w:pStyle w:val="ListParagraph"/>
        <w:numPr>
          <w:ilvl w:val="1"/>
          <w:numId w:val="35"/>
        </w:numPr>
        <w:jc w:val="both"/>
        <w:rPr>
          <w:i/>
          <w:sz w:val="20"/>
        </w:rPr>
      </w:pPr>
      <w:r w:rsidRPr="004B198C">
        <w:rPr>
          <w:rFonts w:eastAsiaTheme="minorEastAsia"/>
          <w:i/>
          <w:sz w:val="20"/>
        </w:rPr>
        <w:t>FFS whether or not to support processing time is lower than the legacy processing time linearly downscaled with TTI length for at least slot based TTI</w:t>
      </w:r>
    </w:p>
    <w:p w14:paraId="2ECFE4A8" w14:textId="77777777" w:rsidR="00164190" w:rsidRPr="004B198C" w:rsidRDefault="00BA34BE" w:rsidP="00EF02B4">
      <w:pPr>
        <w:pStyle w:val="ListParagraph"/>
        <w:numPr>
          <w:ilvl w:val="1"/>
          <w:numId w:val="35"/>
        </w:numPr>
        <w:jc w:val="both"/>
        <w:rPr>
          <w:i/>
          <w:sz w:val="20"/>
        </w:rPr>
      </w:pPr>
      <w:r w:rsidRPr="004B198C">
        <w:rPr>
          <w:rFonts w:eastAsiaTheme="minorEastAsia"/>
          <w:i/>
          <w:sz w:val="20"/>
        </w:rPr>
        <w:t xml:space="preserve">k &lt; 4 for slot based TTI. </w:t>
      </w:r>
    </w:p>
    <w:p w14:paraId="7883BCAC" w14:textId="68E57B60" w:rsidR="00164190" w:rsidRPr="004B198C" w:rsidRDefault="00EF02B4" w:rsidP="00EF02B4">
      <w:pPr>
        <w:pStyle w:val="ListParagraph"/>
        <w:numPr>
          <w:ilvl w:val="1"/>
          <w:numId w:val="35"/>
        </w:numPr>
        <w:jc w:val="both"/>
        <w:rPr>
          <w:i/>
          <w:sz w:val="20"/>
        </w:rPr>
      </w:pPr>
      <w:r w:rsidRPr="004B198C">
        <w:rPr>
          <w:rFonts w:eastAsiaTheme="minorEastAsia"/>
          <w:i/>
          <w:sz w:val="20"/>
        </w:rPr>
        <w:t>Note that sTTI refers to:</w:t>
      </w:r>
    </w:p>
    <w:p w14:paraId="70EA02CD" w14:textId="77777777" w:rsidR="00164190" w:rsidRPr="004B198C" w:rsidRDefault="00BA34BE" w:rsidP="00EF02B4">
      <w:pPr>
        <w:pStyle w:val="ListParagraph"/>
        <w:numPr>
          <w:ilvl w:val="2"/>
          <w:numId w:val="35"/>
        </w:numPr>
        <w:jc w:val="both"/>
        <w:rPr>
          <w:i/>
          <w:sz w:val="20"/>
        </w:rPr>
      </w:pPr>
      <w:r w:rsidRPr="004B198C">
        <w:rPr>
          <w:rFonts w:eastAsiaTheme="minorEastAsia"/>
          <w:i/>
          <w:sz w:val="20"/>
        </w:rPr>
        <w:t xml:space="preserve">sPUSCH sTTI for the UL grant to UL data timing </w:t>
      </w:r>
    </w:p>
    <w:p w14:paraId="5C7A571A" w14:textId="77777777" w:rsidR="00164190" w:rsidRPr="004B198C" w:rsidRDefault="00BA34BE" w:rsidP="00EF02B4">
      <w:pPr>
        <w:pStyle w:val="ListParagraph"/>
        <w:numPr>
          <w:ilvl w:val="2"/>
          <w:numId w:val="35"/>
        </w:numPr>
        <w:jc w:val="both"/>
        <w:rPr>
          <w:i/>
          <w:sz w:val="20"/>
        </w:rPr>
      </w:pPr>
      <w:r w:rsidRPr="004B198C">
        <w:rPr>
          <w:rFonts w:eastAsiaTheme="minorEastAsia"/>
          <w:i/>
          <w:sz w:val="20"/>
        </w:rPr>
        <w:t>sPDSCH sTTI for the DL data to DL HARQ feedback timing</w:t>
      </w:r>
    </w:p>
    <w:p w14:paraId="5C6C582F" w14:textId="46BAF0CF" w:rsidR="00164190" w:rsidRPr="004B198C" w:rsidRDefault="00BA34BE" w:rsidP="00EF02B4">
      <w:pPr>
        <w:pStyle w:val="ListParagraph"/>
        <w:numPr>
          <w:ilvl w:val="1"/>
          <w:numId w:val="35"/>
        </w:numPr>
        <w:jc w:val="both"/>
        <w:rPr>
          <w:i/>
          <w:sz w:val="20"/>
        </w:rPr>
      </w:pPr>
      <w:r w:rsidRPr="004B198C">
        <w:rPr>
          <w:rFonts w:eastAsiaTheme="minorEastAsia"/>
          <w:i/>
          <w:sz w:val="20"/>
        </w:rPr>
        <w:t>FFS how to the handle the minimum timing for the case when DL sTTI and UL sTTI have different lengths</w:t>
      </w:r>
      <w:r w:rsidR="00EF02B4" w:rsidRPr="004B198C">
        <w:rPr>
          <w:rFonts w:eastAsiaTheme="minorEastAsia"/>
          <w:i/>
          <w:sz w:val="20"/>
        </w:rPr>
        <w:t>.</w:t>
      </w:r>
    </w:p>
    <w:p w14:paraId="75DE1262" w14:textId="77777777" w:rsidR="00A41C94" w:rsidRPr="004B198C" w:rsidRDefault="00A41C94" w:rsidP="00F30894">
      <w:pPr>
        <w:jc w:val="both"/>
        <w:rPr>
          <w:i/>
        </w:rPr>
      </w:pPr>
    </w:p>
    <w:p w14:paraId="06866C1A" w14:textId="77777777" w:rsidR="00164190" w:rsidRPr="004B198C" w:rsidRDefault="00BA34BE" w:rsidP="00EF02B4">
      <w:pPr>
        <w:pStyle w:val="ListParagraph"/>
        <w:numPr>
          <w:ilvl w:val="0"/>
          <w:numId w:val="35"/>
        </w:numPr>
        <w:jc w:val="both"/>
        <w:rPr>
          <w:i/>
          <w:sz w:val="20"/>
        </w:rPr>
      </w:pPr>
      <w:r w:rsidRPr="004B198C">
        <w:rPr>
          <w:rFonts w:eastAsiaTheme="minorEastAsia"/>
          <w:i/>
          <w:sz w:val="20"/>
        </w:rPr>
        <w:t xml:space="preserve">For FS1,2&amp;3, a minimum timing n+3 is supported for UL grant to UL data and for DL data to DL HARQ for UEs capable of operating with reduced processing time with only the following conditions: </w:t>
      </w:r>
    </w:p>
    <w:p w14:paraId="6DEDD1EC" w14:textId="49BAE34A" w:rsidR="00164190" w:rsidRPr="004B198C" w:rsidRDefault="00BA34BE" w:rsidP="00EF02B4">
      <w:pPr>
        <w:pStyle w:val="ListParagraph"/>
        <w:numPr>
          <w:ilvl w:val="1"/>
          <w:numId w:val="35"/>
        </w:numPr>
        <w:jc w:val="both"/>
        <w:rPr>
          <w:i/>
          <w:sz w:val="20"/>
        </w:rPr>
      </w:pPr>
      <w:r w:rsidRPr="004B198C">
        <w:rPr>
          <w:rFonts w:eastAsiaTheme="minorEastAsia"/>
          <w:i/>
          <w:sz w:val="20"/>
        </w:rPr>
        <w:t>A maximum TA is reduced to x ms, where x &lt;= 0.</w:t>
      </w:r>
      <w:r w:rsidR="00EF02B4" w:rsidRPr="004B198C">
        <w:rPr>
          <w:rFonts w:eastAsiaTheme="minorEastAsia"/>
          <w:i/>
          <w:sz w:val="20"/>
        </w:rPr>
        <w:t>33ms (exact value FFS).</w:t>
      </w:r>
      <w:r w:rsidRPr="004B198C">
        <w:rPr>
          <w:rFonts w:eastAsiaTheme="minorEastAsia"/>
          <w:i/>
          <w:sz w:val="20"/>
        </w:rPr>
        <w:t xml:space="preserve"> </w:t>
      </w:r>
    </w:p>
    <w:p w14:paraId="407DFBDA" w14:textId="41E31295" w:rsidR="00DB2146" w:rsidRPr="00116F59" w:rsidRDefault="00BA34BE" w:rsidP="00DB2146">
      <w:pPr>
        <w:pStyle w:val="ListParagraph"/>
        <w:numPr>
          <w:ilvl w:val="1"/>
          <w:numId w:val="35"/>
        </w:numPr>
        <w:jc w:val="both"/>
        <w:rPr>
          <w:i/>
          <w:sz w:val="20"/>
        </w:rPr>
      </w:pPr>
      <w:r w:rsidRPr="004B198C">
        <w:rPr>
          <w:rFonts w:eastAsiaTheme="minorEastAsia"/>
          <w:i/>
          <w:sz w:val="20"/>
        </w:rPr>
        <w:t>At least when scheduled by PDCCH</w:t>
      </w:r>
      <w:r w:rsidR="00EF02B4" w:rsidRPr="004B198C">
        <w:rPr>
          <w:rFonts w:eastAsiaTheme="minorEastAsia"/>
          <w:i/>
          <w:sz w:val="20"/>
        </w:rPr>
        <w:t>.</w:t>
      </w:r>
      <w:r w:rsidRPr="004B198C">
        <w:rPr>
          <w:rFonts w:eastAsiaTheme="minorEastAsia"/>
          <w:i/>
          <w:sz w:val="20"/>
        </w:rPr>
        <w:t xml:space="preserve"> </w:t>
      </w:r>
    </w:p>
    <w:p w14:paraId="3F4CA888" w14:textId="77777777" w:rsidR="0035783B" w:rsidRPr="004B198C" w:rsidRDefault="0035783B" w:rsidP="00116F59">
      <w:pPr>
        <w:pStyle w:val="ListParagraph"/>
        <w:ind w:left="1368"/>
        <w:jc w:val="both"/>
        <w:rPr>
          <w:i/>
          <w:sz w:val="20"/>
        </w:rPr>
      </w:pPr>
    </w:p>
    <w:p w14:paraId="27AD320B" w14:textId="77777777" w:rsidR="0035783B" w:rsidRPr="00116F59" w:rsidRDefault="0035783B" w:rsidP="0035783B">
      <w:pPr>
        <w:pStyle w:val="ListParagraph"/>
        <w:numPr>
          <w:ilvl w:val="0"/>
          <w:numId w:val="35"/>
        </w:numPr>
        <w:rPr>
          <w:rFonts w:eastAsia="MS Mincho"/>
          <w:i/>
          <w:iCs/>
          <w:sz w:val="20"/>
          <w:lang w:eastAsia="ja-JP"/>
        </w:rPr>
      </w:pPr>
      <w:r w:rsidRPr="00116F59">
        <w:rPr>
          <w:rFonts w:eastAsia="MS Mincho"/>
          <w:i/>
          <w:iCs/>
          <w:sz w:val="20"/>
          <w:lang w:eastAsia="ja-JP"/>
        </w:rPr>
        <w:t>To adopt the shortened processing timing for the 1ms operation, only PDCCH based scheduling is supported.</w:t>
      </w:r>
    </w:p>
    <w:p w14:paraId="060E5724" w14:textId="77777777" w:rsidR="00EF02B4" w:rsidRDefault="00EF02B4" w:rsidP="00F30894">
      <w:pPr>
        <w:jc w:val="both"/>
      </w:pPr>
    </w:p>
    <w:p w14:paraId="21AE7609" w14:textId="1596944D" w:rsidR="00EF02B4" w:rsidRDefault="00EF02B4" w:rsidP="00F30894">
      <w:pPr>
        <w:jc w:val="both"/>
      </w:pPr>
      <w:r>
        <w:t>In this paper, we present the possible maximum TA value and processing timeline for both operations</w:t>
      </w:r>
      <w:r w:rsidR="0035783B">
        <w:t>. We also discuss how backhaul delay can be compensated for in C-RAN deployments without increasing the TA value.</w:t>
      </w:r>
    </w:p>
    <w:p w14:paraId="3A8F6988" w14:textId="507B7CE1" w:rsidR="00FF5B2B" w:rsidRDefault="00491EEE" w:rsidP="006643A4">
      <w:pPr>
        <w:pStyle w:val="Heading1"/>
        <w:jc w:val="both"/>
      </w:pPr>
      <w:r w:rsidRPr="00CC27F5">
        <w:t>2</w:t>
      </w:r>
      <w:r w:rsidRPr="00CC27F5">
        <w:tab/>
      </w:r>
      <w:r w:rsidR="002E53CF">
        <w:t>Discussion</w:t>
      </w:r>
    </w:p>
    <w:p w14:paraId="2F24D1C0" w14:textId="71F5C836" w:rsidR="00155C4B" w:rsidRPr="00462F27" w:rsidRDefault="003358D3" w:rsidP="0053572F">
      <w:pPr>
        <w:pStyle w:val="Heading2"/>
      </w:pPr>
      <w:r>
        <w:t>2</w:t>
      </w:r>
      <w:r w:rsidR="006643A4">
        <w:t>.1</w:t>
      </w:r>
      <w:r>
        <w:t xml:space="preserve"> </w:t>
      </w:r>
      <w:r w:rsidR="006643A4">
        <w:t xml:space="preserve">Maximum </w:t>
      </w:r>
      <w:r>
        <w:t xml:space="preserve">TA </w:t>
      </w:r>
      <w:r w:rsidR="006643A4">
        <w:t>for 1ms Operation with Shortened Processing Timing</w:t>
      </w:r>
    </w:p>
    <w:p w14:paraId="18D5FF7C" w14:textId="18726E67" w:rsidR="00681803" w:rsidRDefault="003358D3" w:rsidP="003358D3">
      <w:pPr>
        <w:jc w:val="both"/>
        <w:rPr>
          <w:lang w:val="en-GB"/>
        </w:rPr>
      </w:pPr>
      <w:r w:rsidRPr="00C52516">
        <w:rPr>
          <w:lang w:val="en-GB"/>
        </w:rPr>
        <w:t xml:space="preserve">The current legacy </w:t>
      </w:r>
      <w:r>
        <w:rPr>
          <w:lang w:val="en-GB"/>
        </w:rPr>
        <w:t xml:space="preserve">DL HARQ </w:t>
      </w:r>
      <w:r w:rsidRPr="00C52516">
        <w:rPr>
          <w:lang w:val="en-GB"/>
        </w:rPr>
        <w:t xml:space="preserve">timing of </w:t>
      </w:r>
      <m:oMath>
        <m:r>
          <w:rPr>
            <w:rFonts w:ascii="Cambria Math" w:hAnsi="Cambria Math"/>
            <w:lang w:val="en-GB"/>
          </w:rPr>
          <m:t>n+4</m:t>
        </m:r>
      </m:oMath>
      <w:r>
        <w:rPr>
          <w:lang w:val="en-GB"/>
        </w:rPr>
        <w:t xml:space="preserve"> is set based on the worst-case TA and DL control signalling, i.e., based on the maximum TA of 667us (corresponding to 100km site distance) and DL scheduling using EPDCCH. In order to enable DL timing reduction, some limitations can be placed on the maximum TA. </w:t>
      </w:r>
      <w:r w:rsidR="00A1035F">
        <w:rPr>
          <w:lang w:val="en-GB"/>
        </w:rPr>
        <w:t>In reducing the maximum TA</w:t>
      </w:r>
      <w:r w:rsidR="00187B13">
        <w:rPr>
          <w:lang w:val="en-GB"/>
        </w:rPr>
        <w:t>, it is important to note that the new maximum TA under the shortened timing should be small enough such that the reception processing at the UE can done properly. As an example, when the maximum site distance is reduced to 10km, the corresponding maximum TA is 67us</w:t>
      </w:r>
      <w:r w:rsidR="00B60BEE">
        <w:rPr>
          <w:lang w:val="en-GB"/>
        </w:rPr>
        <w:t>. Under this choice of the maximum TA,</w:t>
      </w:r>
      <w:r w:rsidR="00187B13">
        <w:rPr>
          <w:lang w:val="en-GB"/>
        </w:rPr>
        <w:t xml:space="preserve"> not only a saving of 600us can be achieved, but also there remains sufficient time for, e.g., </w:t>
      </w:r>
      <w:r w:rsidR="00B60BEE">
        <w:rPr>
          <w:lang w:val="en-GB"/>
        </w:rPr>
        <w:t xml:space="preserve">proper averaging over multiple RS symbols for </w:t>
      </w:r>
      <w:r w:rsidR="00187B13">
        <w:rPr>
          <w:lang w:val="en-GB"/>
        </w:rPr>
        <w:t>channel estimation at the UE.</w:t>
      </w:r>
    </w:p>
    <w:p w14:paraId="4D14571E" w14:textId="331DC2FC" w:rsidR="00681803" w:rsidRDefault="00681803" w:rsidP="00681803">
      <w:pPr>
        <w:jc w:val="both"/>
        <w:rPr>
          <w:lang w:val="en-GB"/>
        </w:rPr>
      </w:pPr>
      <w:r>
        <w:rPr>
          <w:lang w:val="en-GB"/>
        </w:rPr>
        <w:lastRenderedPageBreak/>
        <w:t xml:space="preserve">It should also be noted that the restrictions placed on the maximum TA may also depend on other features enabled in a network, e.g., CA, NAICS, eIMTA, etc. As an example, under CA operation, different CCs may have a maximum transmit timing difference of 31us. This timing difference should be accounted for in deciding the maximum TA. </w:t>
      </w:r>
    </w:p>
    <w:p w14:paraId="56AF2806" w14:textId="5AD748E6" w:rsidR="003358D3" w:rsidRDefault="006B7CE3" w:rsidP="003358D3">
      <w:pPr>
        <w:jc w:val="both"/>
        <w:rPr>
          <w:lang w:val="en-GB"/>
        </w:rPr>
      </w:pPr>
      <w:r>
        <w:rPr>
          <w:lang w:val="en-GB"/>
        </w:rPr>
        <w:t>Thus, we propose:</w:t>
      </w:r>
    </w:p>
    <w:p w14:paraId="4D75C83B" w14:textId="71D9190E" w:rsidR="00FF5B2B" w:rsidRPr="006643A4" w:rsidRDefault="006B7CE3" w:rsidP="006B7CE3">
      <w:pPr>
        <w:jc w:val="both"/>
        <w:rPr>
          <w:b/>
          <w:lang w:val="en-GB"/>
        </w:rPr>
      </w:pPr>
      <w:r w:rsidRPr="006643A4">
        <w:rPr>
          <w:b/>
          <w:lang w:val="en-GB"/>
        </w:rPr>
        <w:t>Propos</w:t>
      </w:r>
      <w:r w:rsidR="006A5A36" w:rsidRPr="006643A4">
        <w:rPr>
          <w:b/>
          <w:lang w:val="en-GB"/>
        </w:rPr>
        <w:t>al</w:t>
      </w:r>
      <w:r w:rsidRPr="006643A4">
        <w:rPr>
          <w:b/>
          <w:lang w:val="en-GB"/>
        </w:rPr>
        <w:t xml:space="preserve"> </w:t>
      </w:r>
      <w:r w:rsidR="006643A4" w:rsidRPr="006643A4">
        <w:rPr>
          <w:b/>
          <w:lang w:val="en-GB"/>
        </w:rPr>
        <w:t>1</w:t>
      </w:r>
      <w:r w:rsidRPr="006643A4">
        <w:rPr>
          <w:b/>
          <w:lang w:val="en-GB"/>
        </w:rPr>
        <w:t xml:space="preserve">: </w:t>
      </w:r>
      <w:r w:rsidR="00187B13" w:rsidRPr="006643A4">
        <w:rPr>
          <w:b/>
          <w:lang w:val="en-GB"/>
        </w:rPr>
        <w:t>To s</w:t>
      </w:r>
      <w:r w:rsidR="006643A4" w:rsidRPr="006643A4">
        <w:rPr>
          <w:b/>
          <w:lang w:val="en-GB"/>
        </w:rPr>
        <w:t>upport</w:t>
      </w:r>
      <w:r w:rsidRPr="006643A4">
        <w:rPr>
          <w:b/>
          <w:lang w:val="en-GB"/>
        </w:rPr>
        <w:t xml:space="preserve"> shortened</w:t>
      </w:r>
      <w:r w:rsidR="006643A4" w:rsidRPr="006643A4">
        <w:rPr>
          <w:b/>
          <w:lang w:val="en-GB"/>
        </w:rPr>
        <w:t xml:space="preserve"> processing timing for the 1ms operation</w:t>
      </w:r>
      <w:r w:rsidR="00187B13" w:rsidRPr="006643A4">
        <w:rPr>
          <w:b/>
          <w:lang w:val="en-GB"/>
        </w:rPr>
        <w:t>, the maximum TA is reduced to 67us</w:t>
      </w:r>
      <w:r w:rsidRPr="006643A4">
        <w:rPr>
          <w:b/>
          <w:lang w:val="en-GB"/>
        </w:rPr>
        <w:t>.</w:t>
      </w:r>
    </w:p>
    <w:p w14:paraId="6B0E97D2" w14:textId="1DCCED1B" w:rsidR="00563B5A" w:rsidRDefault="006B7CE3" w:rsidP="0053572F">
      <w:pPr>
        <w:pStyle w:val="Heading2"/>
      </w:pPr>
      <w:r>
        <w:t>2</w:t>
      </w:r>
      <w:r w:rsidR="00155C4B">
        <w:t>.</w:t>
      </w:r>
      <w:r w:rsidR="006643A4">
        <w:t>2</w:t>
      </w:r>
      <w:r w:rsidR="00155C4B">
        <w:t xml:space="preserve"> </w:t>
      </w:r>
      <w:r w:rsidR="006643A4">
        <w:t>Maximum TA and Processing Timeline for sTTI Operation</w:t>
      </w:r>
    </w:p>
    <w:p w14:paraId="2471936F" w14:textId="33EE370B" w:rsidR="00A33BBC" w:rsidRDefault="00515608" w:rsidP="00515608">
      <w:pPr>
        <w:jc w:val="both"/>
        <w:rPr>
          <w:lang w:val="en-GB"/>
        </w:rPr>
      </w:pPr>
      <w:r>
        <w:rPr>
          <w:lang w:val="en-GB"/>
        </w:rPr>
        <w:t xml:space="preserve">Although it is desirable to scale the legacy TBS inversely proportional to the sTTI length, this does not guarantee that the processing time is also linearly downscaled. In particular, some processing components, such as channel estimation, regardless of the TTI length, take a fixed amount of time </w:t>
      </w:r>
      <w:r w:rsidR="0092053F">
        <w:rPr>
          <w:lang w:val="en-GB"/>
        </w:rPr>
        <w:t>for completion</w:t>
      </w:r>
      <w:r>
        <w:rPr>
          <w:lang w:val="en-GB"/>
        </w:rPr>
        <w:t xml:space="preserve">. Further, in order to determine the processing timeline as well as the maximum allowable TA, it is essential to consider the carrier aggregation operation. </w:t>
      </w:r>
      <w:r w:rsidR="00A33BBC">
        <w:rPr>
          <w:lang w:val="en-GB"/>
        </w:rPr>
        <w:t xml:space="preserve">This is particularly important since under CA, the time misalignment among different CCs could be up to 31us. </w:t>
      </w:r>
      <w:r w:rsidR="005E71D5">
        <w:rPr>
          <w:lang w:val="en-GB"/>
        </w:rPr>
        <w:t>Also, in determining the maximum TA value, whether a single TAG or multiple TAGs are configured should be taken into account.</w:t>
      </w:r>
    </w:p>
    <w:p w14:paraId="1614A770" w14:textId="77777777" w:rsidR="00A33BBC" w:rsidRDefault="00A33BBC" w:rsidP="00515608">
      <w:pPr>
        <w:jc w:val="both"/>
        <w:rPr>
          <w:lang w:val="en-GB"/>
        </w:rPr>
      </w:pPr>
      <w:r>
        <w:rPr>
          <w:lang w:val="en-GB"/>
        </w:rPr>
        <w:t>Due to the aforementioned reasons, we have:</w:t>
      </w:r>
    </w:p>
    <w:p w14:paraId="5864F14E" w14:textId="184FD53E" w:rsidR="00A33BBC" w:rsidRDefault="00A33BBC" w:rsidP="00A33BBC">
      <w:pPr>
        <w:jc w:val="both"/>
        <w:rPr>
          <w:b/>
          <w:lang w:val="en-GB"/>
        </w:rPr>
      </w:pPr>
      <w:r w:rsidRPr="006643A4">
        <w:rPr>
          <w:b/>
          <w:lang w:val="en-GB"/>
        </w:rPr>
        <w:t xml:space="preserve">Proposal </w:t>
      </w:r>
      <w:r w:rsidR="0035783B">
        <w:rPr>
          <w:b/>
          <w:lang w:val="en-GB"/>
        </w:rPr>
        <w:t>2</w:t>
      </w:r>
      <w:r w:rsidRPr="006643A4">
        <w:rPr>
          <w:b/>
          <w:lang w:val="en-GB"/>
        </w:rPr>
        <w:t xml:space="preserve">: </w:t>
      </w:r>
      <w:r>
        <w:rPr>
          <w:b/>
          <w:lang w:val="en-GB"/>
        </w:rPr>
        <w:t xml:space="preserve">For the 1-slot sTTI operation, support </w:t>
      </w:r>
      <m:oMath>
        <m:r>
          <m:rPr>
            <m:sty m:val="bi"/>
          </m:rPr>
          <w:rPr>
            <w:rFonts w:ascii="Cambria Math" w:hAnsi="Cambria Math"/>
            <w:lang w:val="en-GB"/>
          </w:rPr>
          <m:t>n+4</m:t>
        </m:r>
      </m:oMath>
      <w:r>
        <w:rPr>
          <w:b/>
          <w:lang w:val="en-GB"/>
        </w:rPr>
        <w:t xml:space="preserve"> processing timing with</w:t>
      </w:r>
      <w:r w:rsidR="0092053F">
        <w:rPr>
          <w:b/>
          <w:lang w:val="en-GB"/>
        </w:rPr>
        <w:t xml:space="preserve"> the</w:t>
      </w:r>
      <w:r>
        <w:rPr>
          <w:b/>
          <w:lang w:val="en-GB"/>
        </w:rPr>
        <w:t xml:space="preserve"> maximum TA of </w:t>
      </w:r>
      <m:oMath>
        <m:r>
          <m:rPr>
            <m:sty m:val="bi"/>
          </m:rPr>
          <w:rPr>
            <w:rFonts w:ascii="Cambria Math" w:hAnsi="Cambria Math"/>
            <w:lang w:val="en-GB"/>
          </w:rPr>
          <m:t>67</m:t>
        </m:r>
      </m:oMath>
      <w:r>
        <w:rPr>
          <w:b/>
          <w:lang w:val="en-GB"/>
        </w:rPr>
        <w:t>us.</w:t>
      </w:r>
    </w:p>
    <w:p w14:paraId="76AE066D" w14:textId="7D5D01CB" w:rsidR="003209E3" w:rsidRDefault="00A33BBC" w:rsidP="00515608">
      <w:pPr>
        <w:jc w:val="both"/>
        <w:rPr>
          <w:lang w:val="en-GB"/>
        </w:rPr>
      </w:pPr>
      <w:r>
        <w:rPr>
          <w:lang w:val="en-GB"/>
        </w:rPr>
        <w:t xml:space="preserve">Under the 2-symbol sTTI operation, the processing timeline is even tighter. In particular, if the chosen maximum TA value is not sufficiently small, </w:t>
      </w:r>
      <w:r w:rsidR="0035783B">
        <w:rPr>
          <w:lang w:val="en-GB"/>
        </w:rPr>
        <w:t xml:space="preserve">adopting </w:t>
      </w:r>
      <w:r>
        <w:rPr>
          <w:lang w:val="en-GB"/>
        </w:rPr>
        <w:t xml:space="preserve">the </w:t>
      </w:r>
      <m:oMath>
        <m:r>
          <w:rPr>
            <w:rFonts w:ascii="Cambria Math" w:hAnsi="Cambria Math"/>
            <w:lang w:val="en-GB"/>
          </w:rPr>
          <m:t>n+4</m:t>
        </m:r>
      </m:oMath>
      <w:r>
        <w:rPr>
          <w:lang w:val="en-GB"/>
        </w:rPr>
        <w:t xml:space="preserve"> processing timing may not be </w:t>
      </w:r>
      <w:r w:rsidR="0092053F">
        <w:rPr>
          <w:lang w:val="en-GB"/>
        </w:rPr>
        <w:t xml:space="preserve">even </w:t>
      </w:r>
      <w:r>
        <w:rPr>
          <w:lang w:val="en-GB"/>
        </w:rPr>
        <w:t>feasible. On the other hand, choosing a very small maximum TA value may constrain the deployment. To address this issue, one approach could be to choose a small TA value</w:t>
      </w:r>
      <w:r w:rsidR="0092053F">
        <w:rPr>
          <w:lang w:val="en-GB"/>
        </w:rPr>
        <w:t xml:space="preserve">, e.g., </w:t>
      </w:r>
      <m:oMath>
        <m:r>
          <w:rPr>
            <w:rFonts w:ascii="Cambria Math" w:hAnsi="Cambria Math"/>
            <w:lang w:val="en-GB"/>
          </w:rPr>
          <m:t xml:space="preserve"> x&lt;67</m:t>
        </m:r>
      </m:oMath>
      <w:r>
        <w:rPr>
          <w:lang w:val="en-GB"/>
        </w:rPr>
        <w:t>us</w:t>
      </w:r>
      <w:r w:rsidR="0092053F">
        <w:rPr>
          <w:lang w:val="en-GB"/>
        </w:rPr>
        <w:t>,</w:t>
      </w:r>
      <w:r>
        <w:rPr>
          <w:lang w:val="en-GB"/>
        </w:rPr>
        <w:t xml:space="preserve"> for a specific </w:t>
      </w:r>
      <w:r w:rsidR="003209E3">
        <w:rPr>
          <w:lang w:val="en-GB"/>
        </w:rPr>
        <w:t xml:space="preserve">default </w:t>
      </w:r>
      <w:r>
        <w:rPr>
          <w:lang w:val="en-GB"/>
        </w:rPr>
        <w:t xml:space="preserve">processing timing, e.g., </w:t>
      </w:r>
      <m:oMath>
        <m:r>
          <w:rPr>
            <w:rFonts w:ascii="Cambria Math" w:hAnsi="Cambria Math"/>
            <w:lang w:val="en-GB"/>
          </w:rPr>
          <m:t>n+4</m:t>
        </m:r>
      </m:oMath>
      <w:r>
        <w:rPr>
          <w:lang w:val="en-GB"/>
        </w:rPr>
        <w:t xml:space="preserve">, and increase the TA value </w:t>
      </w:r>
      <w:r w:rsidR="007324FF">
        <w:rPr>
          <w:lang w:val="en-GB"/>
        </w:rPr>
        <w:t>as the processing timing increases</w:t>
      </w:r>
      <w:r>
        <w:rPr>
          <w:lang w:val="en-GB"/>
        </w:rPr>
        <w:t xml:space="preserve">. </w:t>
      </w:r>
      <w:r w:rsidR="007324FF">
        <w:rPr>
          <w:lang w:val="en-GB"/>
        </w:rPr>
        <w:t xml:space="preserve">It should also be noted that the proposed TAs should account for the DL time misalignment across CCs, as well as whether a single-TAG or multi-TAG is defined. As an example, for a non-CA capable user, the </w:t>
      </w:r>
      <m:oMath>
        <m:r>
          <w:rPr>
            <w:rFonts w:ascii="Cambria Math" w:hAnsi="Cambria Math"/>
            <w:lang w:val="en-GB"/>
          </w:rPr>
          <m:t>n+4</m:t>
        </m:r>
      </m:oMath>
      <w:r w:rsidR="007324FF">
        <w:rPr>
          <w:lang w:val="en-GB"/>
        </w:rPr>
        <w:t xml:space="preserve"> timing can be adopted when TA = 67us. If CA is supported, then the TA value could be </w:t>
      </w:r>
      <w:r w:rsidR="000962EF">
        <w:rPr>
          <w:lang w:val="en-GB"/>
        </w:rPr>
        <w:t xml:space="preserve">set at </w:t>
      </w:r>
      <w:r w:rsidR="007324FF">
        <w:rPr>
          <w:lang w:val="en-GB"/>
        </w:rPr>
        <w:t>about 30us. In essence, since the time misalignment across DL CCs eats from the processing timeline, the TA value should be defined separately for the cases of CA and non-CA operations.</w:t>
      </w:r>
    </w:p>
    <w:p w14:paraId="3A89B898" w14:textId="3F54DF37" w:rsidR="006643A4" w:rsidRDefault="003209E3" w:rsidP="00A02E0F">
      <w:pPr>
        <w:jc w:val="both"/>
        <w:rPr>
          <w:b/>
          <w:lang w:val="en-GB"/>
        </w:rPr>
      </w:pPr>
      <w:r w:rsidRPr="003209E3">
        <w:rPr>
          <w:b/>
          <w:lang w:val="en-GB"/>
        </w:rPr>
        <w:t xml:space="preserve">Proposal </w:t>
      </w:r>
      <w:r w:rsidR="0035783B">
        <w:rPr>
          <w:b/>
          <w:lang w:val="en-GB"/>
        </w:rPr>
        <w:t>3</w:t>
      </w:r>
      <w:r w:rsidRPr="003209E3">
        <w:rPr>
          <w:b/>
          <w:lang w:val="en-GB"/>
        </w:rPr>
        <w:t xml:space="preserve">: For the 2-symbol </w:t>
      </w:r>
      <w:proofErr w:type="spellStart"/>
      <w:r w:rsidRPr="003209E3">
        <w:rPr>
          <w:b/>
          <w:lang w:val="en-GB"/>
        </w:rPr>
        <w:t>sTTI</w:t>
      </w:r>
      <w:proofErr w:type="spellEnd"/>
      <w:r w:rsidRPr="003209E3">
        <w:rPr>
          <w:b/>
          <w:lang w:val="en-GB"/>
        </w:rPr>
        <w:t xml:space="preserve"> operation, </w:t>
      </w:r>
      <w:r w:rsidR="00966519">
        <w:rPr>
          <w:b/>
          <w:lang w:val="en-GB"/>
        </w:rPr>
        <w:t>the</w:t>
      </w:r>
      <w:r w:rsidR="007324FF">
        <w:rPr>
          <w:b/>
          <w:lang w:val="en-GB"/>
        </w:rPr>
        <w:t xml:space="preserve"> n+4 and</w:t>
      </w:r>
      <w:bookmarkStart w:id="2" w:name="_GoBack"/>
      <w:bookmarkEnd w:id="2"/>
      <w:r w:rsidR="007324FF">
        <w:rPr>
          <w:b/>
          <w:lang w:val="en-GB"/>
        </w:rPr>
        <w:t xml:space="preserve"> n+6 processing timelines should be adopted. To determine the TA value, the CA and non-CA operations should be treated separately.</w:t>
      </w:r>
    </w:p>
    <w:p w14:paraId="6ABEEB29" w14:textId="65BCB0BB" w:rsidR="00122E83" w:rsidRDefault="00122E83" w:rsidP="00122E83">
      <w:pPr>
        <w:pStyle w:val="Heading1"/>
        <w:jc w:val="both"/>
      </w:pPr>
      <w:r>
        <w:t>3</w:t>
      </w:r>
      <w:r w:rsidRPr="00CC27F5">
        <w:tab/>
      </w:r>
      <w:r>
        <w:t>1ms TTI with sPT and sTTI in C-RAN Deployments</w:t>
      </w:r>
    </w:p>
    <w:p w14:paraId="76162762" w14:textId="77777777" w:rsidR="00122E83" w:rsidRDefault="00122E83" w:rsidP="00A02E0F">
      <w:pPr>
        <w:jc w:val="both"/>
        <w:rPr>
          <w:lang w:val="en-GB"/>
        </w:rPr>
      </w:pPr>
      <w:r w:rsidRPr="00116F59">
        <w:rPr>
          <w:lang w:val="en-GB"/>
        </w:rPr>
        <w:t xml:space="preserve">In C-RAN deployments, there are two components that contribute to the overall latency: (1) the backhaul delay, and (2) over-the-air delay. One approach to compensate for the backhaul delay is to choose a large TA value. However, as the TA increases, a UE has smaller amount of time for DL and UL processing. This effectively puts the pressure on the UE. An alternative approach to compensate for the backhaul delay could be to </w:t>
      </w:r>
      <w:r>
        <w:rPr>
          <w:lang w:val="en-GB"/>
        </w:rPr>
        <w:t xml:space="preserve">set the TA value solely based on the over-the-air delay, while considering a larger than </w:t>
      </w:r>
      <m:oMath>
        <m:r>
          <w:rPr>
            <w:rFonts w:ascii="Cambria Math" w:hAnsi="Cambria Math"/>
            <w:lang w:val="en-GB"/>
          </w:rPr>
          <m:t>2k</m:t>
        </m:r>
      </m:oMath>
      <w:r>
        <w:rPr>
          <w:lang w:val="en-GB"/>
        </w:rPr>
        <w:t xml:space="preserve"> HARQ processes, where </w:t>
      </w:r>
      <m:oMath>
        <m:r>
          <w:rPr>
            <w:rFonts w:ascii="Cambria Math" w:hAnsi="Cambria Math"/>
            <w:lang w:val="en-GB"/>
          </w:rPr>
          <m:t>k</m:t>
        </m:r>
      </m:oMath>
      <w:r>
        <w:rPr>
          <w:lang w:val="en-GB"/>
        </w:rPr>
        <w:t xml:space="preserve"> is from </w:t>
      </w:r>
      <m:oMath>
        <m:r>
          <w:rPr>
            <w:rFonts w:ascii="Cambria Math" w:hAnsi="Cambria Math"/>
            <w:lang w:val="en-GB"/>
          </w:rPr>
          <m:t>n+k</m:t>
        </m:r>
      </m:oMath>
      <w:r>
        <w:rPr>
          <w:lang w:val="en-GB"/>
        </w:rPr>
        <w:t xml:space="preserve">, for the UEs supporting 1ms TTI with shortened processing timeline and/or sTTI. </w:t>
      </w:r>
    </w:p>
    <w:p w14:paraId="744CDE18" w14:textId="6AD3FBE4" w:rsidR="00EF66C2" w:rsidRDefault="00122E83" w:rsidP="00A02E0F">
      <w:pPr>
        <w:jc w:val="both"/>
        <w:rPr>
          <w:lang w:val="en-GB"/>
        </w:rPr>
      </w:pPr>
      <w:r>
        <w:rPr>
          <w:lang w:val="en-GB"/>
        </w:rPr>
        <w:t xml:space="preserve">In such a case, the transmissions from both </w:t>
      </w:r>
      <w:r w:rsidR="00EF66C2">
        <w:rPr>
          <w:lang w:val="en-GB"/>
        </w:rPr>
        <w:t xml:space="preserve">the </w:t>
      </w:r>
      <w:r>
        <w:rPr>
          <w:lang w:val="en-GB"/>
        </w:rPr>
        <w:t xml:space="preserve">new UEs and legacy UEs will be aligned at both the RRHs as well as the eNB (central unit). </w:t>
      </w:r>
      <w:r w:rsidR="00EF66C2">
        <w:rPr>
          <w:lang w:val="en-GB"/>
        </w:rPr>
        <w:t xml:space="preserve">For the new UEs, the additional HARQ processes will be used to compensate for the backhaul delay. As an example, under the </w:t>
      </w:r>
      <m:oMath>
        <m:r>
          <w:rPr>
            <w:rFonts w:ascii="Cambria Math" w:hAnsi="Cambria Math"/>
            <w:lang w:val="en-GB"/>
          </w:rPr>
          <m:t>n+4</m:t>
        </m:r>
      </m:oMath>
      <w:r w:rsidR="00EF66C2">
        <w:rPr>
          <w:lang w:val="en-GB"/>
        </w:rPr>
        <w:t xml:space="preserve"> timing, a UE expects a re-transmission from TTI </w:t>
      </w:r>
      <m:oMath>
        <m:r>
          <w:rPr>
            <w:rFonts w:ascii="Cambria Math" w:hAnsi="Cambria Math"/>
            <w:lang w:val="en-GB"/>
          </w:rPr>
          <m:t>n+4</m:t>
        </m:r>
      </m:oMath>
      <w:r w:rsidR="00EF66C2">
        <w:rPr>
          <w:lang w:val="en-GB"/>
        </w:rPr>
        <w:t xml:space="preserve"> for a NAK sent in TTI </w:t>
      </w:r>
      <m:oMath>
        <m:r>
          <w:rPr>
            <w:rFonts w:ascii="Cambria Math" w:hAnsi="Cambria Math"/>
            <w:lang w:val="en-GB"/>
          </w:rPr>
          <m:t>n</m:t>
        </m:r>
      </m:oMath>
      <w:r w:rsidR="00EF66C2">
        <w:rPr>
          <w:lang w:val="en-GB"/>
        </w:rPr>
        <w:t xml:space="preserve">. However, since there is an additional backhaul delay, the re-transmission may not be ready in TTI </w:t>
      </w:r>
      <m:oMath>
        <m:r>
          <w:rPr>
            <w:rFonts w:ascii="Cambria Math" w:hAnsi="Cambria Math"/>
            <w:lang w:val="en-GB"/>
          </w:rPr>
          <m:t>n+4</m:t>
        </m:r>
      </m:oMath>
      <w:r w:rsidR="00EF66C2">
        <w:rPr>
          <w:lang w:val="en-GB"/>
        </w:rPr>
        <w:t>. Instead, eNB can serve other HARQ processes until the packet to be re-transmitted becomes available. Legacy users, however, do not have additional HARQ processes. For these users, eNB needs to perform the processing faster.</w:t>
      </w:r>
    </w:p>
    <w:p w14:paraId="6173420D" w14:textId="38781F0F" w:rsidR="00EF66C2" w:rsidRDefault="00EF66C2" w:rsidP="00A02E0F">
      <w:pPr>
        <w:jc w:val="both"/>
        <w:rPr>
          <w:lang w:val="en-GB"/>
        </w:rPr>
      </w:pPr>
      <w:r>
        <w:rPr>
          <w:lang w:val="en-GB"/>
        </w:rPr>
        <w:t xml:space="preserve">Since a UE supporting 1ms TTI with </w:t>
      </w:r>
      <m:oMath>
        <m:r>
          <w:rPr>
            <w:rFonts w:ascii="Cambria Math" w:hAnsi="Cambria Math"/>
            <w:lang w:val="en-GB"/>
          </w:rPr>
          <m:t>n+3</m:t>
        </m:r>
      </m:oMath>
      <w:r>
        <w:rPr>
          <w:lang w:val="en-GB"/>
        </w:rPr>
        <w:t xml:space="preserve"> timing should support the fallback operation as well, the number of HARQ processes can be kept at 8. Hence, two additional HARQ processes are available at no cost. The number of HARQ processes for a 2-symbol sTTI with </w:t>
      </w:r>
      <m:oMath>
        <m:r>
          <w:rPr>
            <w:rFonts w:ascii="Cambria Math" w:hAnsi="Cambria Math"/>
            <w:lang w:val="en-GB"/>
          </w:rPr>
          <m:t>n+6</m:t>
        </m:r>
      </m:oMath>
      <w:r>
        <w:rPr>
          <w:lang w:val="en-GB"/>
        </w:rPr>
        <w:t xml:space="preserve"> could be set at 16. Also, the number of HARQ processes for a 2-symbol sTTI as well as 1-slot sTTI with </w:t>
      </w:r>
      <m:oMath>
        <m:r>
          <w:rPr>
            <w:rFonts w:ascii="Cambria Math" w:hAnsi="Cambria Math"/>
            <w:lang w:val="en-GB"/>
          </w:rPr>
          <m:t>n+4</m:t>
        </m:r>
      </m:oMath>
      <w:r>
        <w:rPr>
          <w:lang w:val="en-GB"/>
        </w:rPr>
        <w:t xml:space="preserve"> timing can be chosen to be larger than 8.</w:t>
      </w:r>
    </w:p>
    <w:p w14:paraId="4C21CCC2" w14:textId="05744700" w:rsidR="00EF66C2" w:rsidRPr="00116F59" w:rsidRDefault="00EF66C2" w:rsidP="00A02E0F">
      <w:pPr>
        <w:jc w:val="both"/>
        <w:rPr>
          <w:b/>
          <w:lang w:val="en-GB"/>
        </w:rPr>
      </w:pPr>
      <w:r w:rsidRPr="00116F59">
        <w:rPr>
          <w:b/>
          <w:lang w:val="en-GB"/>
        </w:rPr>
        <w:t xml:space="preserve">Proposal 4: </w:t>
      </w:r>
      <w:r w:rsidR="000962EF" w:rsidRPr="00116F59">
        <w:rPr>
          <w:b/>
          <w:lang w:val="en-GB"/>
        </w:rPr>
        <w:t xml:space="preserve">For both 1ms TTI with sPT and sTTI operations, the TA value should be chosen solely based on the RRH coverage area. To compensate for the backhaul delay, the number of HARQ processes could be increased. </w:t>
      </w:r>
    </w:p>
    <w:p w14:paraId="2F77E7C7" w14:textId="63088C5B" w:rsidR="00491EEE" w:rsidRDefault="00122E83" w:rsidP="00843B71">
      <w:pPr>
        <w:pStyle w:val="Heading1"/>
        <w:jc w:val="both"/>
      </w:pPr>
      <w:r>
        <w:t>4</w:t>
      </w:r>
      <w:r w:rsidR="00491EEE" w:rsidRPr="00E05A22">
        <w:tab/>
        <w:t xml:space="preserve">Conclusions </w:t>
      </w:r>
    </w:p>
    <w:p w14:paraId="4B59A890" w14:textId="77777777" w:rsidR="006643A4" w:rsidRPr="006643A4" w:rsidRDefault="006643A4" w:rsidP="006643A4">
      <w:pPr>
        <w:jc w:val="both"/>
        <w:rPr>
          <w:b/>
          <w:lang w:val="en-GB"/>
        </w:rPr>
      </w:pPr>
      <w:r w:rsidRPr="006643A4">
        <w:rPr>
          <w:b/>
          <w:lang w:val="en-GB"/>
        </w:rPr>
        <w:t>Proposal 1: To support shortened processing timing for the 1ms operation, the maximum TA is reduced to 67us.</w:t>
      </w:r>
    </w:p>
    <w:p w14:paraId="258F571F" w14:textId="6C6FA5DD" w:rsidR="00A33BBC" w:rsidRDefault="00A33BBC" w:rsidP="00A33BBC">
      <w:pPr>
        <w:jc w:val="both"/>
        <w:rPr>
          <w:b/>
          <w:lang w:val="en-GB"/>
        </w:rPr>
      </w:pPr>
      <w:r w:rsidRPr="006643A4">
        <w:rPr>
          <w:b/>
          <w:lang w:val="en-GB"/>
        </w:rPr>
        <w:lastRenderedPageBreak/>
        <w:t xml:space="preserve">Proposal </w:t>
      </w:r>
      <w:r w:rsidR="0035783B">
        <w:rPr>
          <w:b/>
          <w:lang w:val="en-GB"/>
        </w:rPr>
        <w:t>2</w:t>
      </w:r>
      <w:r w:rsidRPr="006643A4">
        <w:rPr>
          <w:b/>
          <w:lang w:val="en-GB"/>
        </w:rPr>
        <w:t xml:space="preserve">: </w:t>
      </w:r>
      <w:r>
        <w:rPr>
          <w:b/>
          <w:lang w:val="en-GB"/>
        </w:rPr>
        <w:t xml:space="preserve">For the 1-slot sTTI operation, support </w:t>
      </w:r>
      <m:oMath>
        <m:r>
          <m:rPr>
            <m:sty m:val="bi"/>
          </m:rPr>
          <w:rPr>
            <w:rFonts w:ascii="Cambria Math" w:hAnsi="Cambria Math"/>
            <w:lang w:val="en-GB"/>
          </w:rPr>
          <m:t>n+4</m:t>
        </m:r>
      </m:oMath>
      <w:r>
        <w:rPr>
          <w:b/>
          <w:lang w:val="en-GB"/>
        </w:rPr>
        <w:t xml:space="preserve"> processing timing with </w:t>
      </w:r>
      <w:r w:rsidR="0092053F">
        <w:rPr>
          <w:b/>
          <w:lang w:val="en-GB"/>
        </w:rPr>
        <w:t xml:space="preserve">the </w:t>
      </w:r>
      <w:r>
        <w:rPr>
          <w:b/>
          <w:lang w:val="en-GB"/>
        </w:rPr>
        <w:t xml:space="preserve">maximum TA of </w:t>
      </w:r>
      <m:oMath>
        <m:r>
          <m:rPr>
            <m:sty m:val="bi"/>
          </m:rPr>
          <w:rPr>
            <w:rFonts w:ascii="Cambria Math" w:hAnsi="Cambria Math"/>
            <w:lang w:val="en-GB"/>
          </w:rPr>
          <m:t>67</m:t>
        </m:r>
      </m:oMath>
      <w:r>
        <w:rPr>
          <w:b/>
          <w:lang w:val="en-GB"/>
        </w:rPr>
        <w:t>us.</w:t>
      </w:r>
    </w:p>
    <w:p w14:paraId="5ADAA6DC" w14:textId="77777777" w:rsidR="007324FF" w:rsidRDefault="007324FF" w:rsidP="007324FF">
      <w:pPr>
        <w:jc w:val="both"/>
        <w:rPr>
          <w:b/>
          <w:lang w:val="en-GB"/>
        </w:rPr>
      </w:pPr>
      <w:r w:rsidRPr="003209E3">
        <w:rPr>
          <w:b/>
          <w:lang w:val="en-GB"/>
        </w:rPr>
        <w:t xml:space="preserve">Proposal </w:t>
      </w:r>
      <w:r>
        <w:rPr>
          <w:b/>
          <w:lang w:val="en-GB"/>
        </w:rPr>
        <w:t>3</w:t>
      </w:r>
      <w:r w:rsidRPr="003209E3">
        <w:rPr>
          <w:b/>
          <w:lang w:val="en-GB"/>
        </w:rPr>
        <w:t xml:space="preserve">: For the 2-symbol sTTI operation, </w:t>
      </w:r>
      <w:r>
        <w:rPr>
          <w:b/>
          <w:lang w:val="en-GB"/>
        </w:rPr>
        <w:t>both n+4 and n+6 processing timelines should be adopted. To determine the TA value, the CA and non-CA operations should be treated separately.</w:t>
      </w:r>
    </w:p>
    <w:p w14:paraId="6CBDD6BD" w14:textId="77777777" w:rsidR="000962EF" w:rsidRPr="00FF1CDF" w:rsidRDefault="000962EF" w:rsidP="000962EF">
      <w:pPr>
        <w:jc w:val="both"/>
        <w:rPr>
          <w:b/>
          <w:lang w:val="en-GB"/>
        </w:rPr>
      </w:pPr>
      <w:r w:rsidRPr="00FF1CDF">
        <w:rPr>
          <w:b/>
          <w:lang w:val="en-GB"/>
        </w:rPr>
        <w:t xml:space="preserve">Proposal 4: For both 1ms TTI with sPT and sTTI operations, the TA value should be chosen solely based on the RRH coverage area. To compensate for the backhaul delay, the number of HARQ processes could be increased. </w:t>
      </w:r>
    </w:p>
    <w:p w14:paraId="76EDA4D3" w14:textId="397F1BF6" w:rsidR="00B60D1C" w:rsidRPr="00FD3822" w:rsidRDefault="00B60D1C" w:rsidP="00B60D1C"/>
    <w:sectPr w:rsidR="00B60D1C" w:rsidRPr="00FD3822"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47285" w14:textId="77777777" w:rsidR="00FD7C22" w:rsidRDefault="00FD7C22">
      <w:r>
        <w:separator/>
      </w:r>
    </w:p>
  </w:endnote>
  <w:endnote w:type="continuationSeparator" w:id="0">
    <w:p w14:paraId="0CF3558E" w14:textId="77777777" w:rsidR="00FD7C22" w:rsidRDefault="00FD7C22">
      <w:r>
        <w:continuationSeparator/>
      </w:r>
    </w:p>
  </w:endnote>
  <w:endnote w:type="continuationNotice" w:id="1">
    <w:p w14:paraId="3B89B9BB" w14:textId="77777777" w:rsidR="00FD7C22" w:rsidRDefault="00FD7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1B3BFA66"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651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651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D6979" w14:textId="77777777" w:rsidR="00FD7C22" w:rsidRDefault="00FD7C22">
      <w:r>
        <w:separator/>
      </w:r>
    </w:p>
  </w:footnote>
  <w:footnote w:type="continuationSeparator" w:id="0">
    <w:p w14:paraId="1EDFD712" w14:textId="77777777" w:rsidR="00FD7C22" w:rsidRDefault="00FD7C22">
      <w:r>
        <w:continuationSeparator/>
      </w:r>
    </w:p>
  </w:footnote>
  <w:footnote w:type="continuationNotice" w:id="1">
    <w:p w14:paraId="22413CBF" w14:textId="77777777" w:rsidR="00FD7C22" w:rsidRDefault="00FD7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32E1"/>
      </v:shape>
    </w:pict>
  </w:numPicBullet>
  <w:abstractNum w:abstractNumId="0" w15:restartNumberingAfterBreak="0">
    <w:nsid w:val="00834502"/>
    <w:multiLevelType w:val="hybridMultilevel"/>
    <w:tmpl w:val="D81A0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3A6232"/>
    <w:multiLevelType w:val="hybridMultilevel"/>
    <w:tmpl w:val="024C6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3697A"/>
    <w:multiLevelType w:val="hybridMultilevel"/>
    <w:tmpl w:val="6608C374"/>
    <w:lvl w:ilvl="0" w:tplc="F1D2CFEC">
      <w:start w:val="1"/>
      <w:numFmt w:val="bullet"/>
      <w:lvlText w:val="−"/>
      <w:lvlJc w:val="left"/>
      <w:pPr>
        <w:tabs>
          <w:tab w:val="num" w:pos="720"/>
        </w:tabs>
        <w:ind w:left="720" w:hanging="360"/>
      </w:pPr>
      <w:rPr>
        <w:rFonts w:ascii="Calibre Regular" w:hAnsi="Calibre Regular" w:hint="default"/>
      </w:rPr>
    </w:lvl>
    <w:lvl w:ilvl="1" w:tplc="25A472D8">
      <w:start w:val="1"/>
      <w:numFmt w:val="bullet"/>
      <w:lvlText w:val="−"/>
      <w:lvlJc w:val="left"/>
      <w:pPr>
        <w:tabs>
          <w:tab w:val="num" w:pos="1440"/>
        </w:tabs>
        <w:ind w:left="1440" w:hanging="360"/>
      </w:pPr>
      <w:rPr>
        <w:rFonts w:ascii="Calibre Regular" w:hAnsi="Calibre Regular" w:hint="default"/>
      </w:rPr>
    </w:lvl>
    <w:lvl w:ilvl="2" w:tplc="69AEA006">
      <w:start w:val="100"/>
      <w:numFmt w:val="bullet"/>
      <w:lvlText w:val="−"/>
      <w:lvlJc w:val="left"/>
      <w:pPr>
        <w:tabs>
          <w:tab w:val="num" w:pos="2160"/>
        </w:tabs>
        <w:ind w:left="2160" w:hanging="360"/>
      </w:pPr>
      <w:rPr>
        <w:rFonts w:ascii="Calibre Regular" w:hAnsi="Calibre Regular" w:hint="default"/>
      </w:rPr>
    </w:lvl>
    <w:lvl w:ilvl="3" w:tplc="7D64E94A" w:tentative="1">
      <w:start w:val="1"/>
      <w:numFmt w:val="bullet"/>
      <w:lvlText w:val="−"/>
      <w:lvlJc w:val="left"/>
      <w:pPr>
        <w:tabs>
          <w:tab w:val="num" w:pos="2880"/>
        </w:tabs>
        <w:ind w:left="2880" w:hanging="360"/>
      </w:pPr>
      <w:rPr>
        <w:rFonts w:ascii="Calibre Regular" w:hAnsi="Calibre Regular" w:hint="default"/>
      </w:rPr>
    </w:lvl>
    <w:lvl w:ilvl="4" w:tplc="38489C50" w:tentative="1">
      <w:start w:val="1"/>
      <w:numFmt w:val="bullet"/>
      <w:lvlText w:val="−"/>
      <w:lvlJc w:val="left"/>
      <w:pPr>
        <w:tabs>
          <w:tab w:val="num" w:pos="3600"/>
        </w:tabs>
        <w:ind w:left="3600" w:hanging="360"/>
      </w:pPr>
      <w:rPr>
        <w:rFonts w:ascii="Calibre Regular" w:hAnsi="Calibre Regular" w:hint="default"/>
      </w:rPr>
    </w:lvl>
    <w:lvl w:ilvl="5" w:tplc="1E8EA06A" w:tentative="1">
      <w:start w:val="1"/>
      <w:numFmt w:val="bullet"/>
      <w:lvlText w:val="−"/>
      <w:lvlJc w:val="left"/>
      <w:pPr>
        <w:tabs>
          <w:tab w:val="num" w:pos="4320"/>
        </w:tabs>
        <w:ind w:left="4320" w:hanging="360"/>
      </w:pPr>
      <w:rPr>
        <w:rFonts w:ascii="Calibre Regular" w:hAnsi="Calibre Regular" w:hint="default"/>
      </w:rPr>
    </w:lvl>
    <w:lvl w:ilvl="6" w:tplc="7D5254B6" w:tentative="1">
      <w:start w:val="1"/>
      <w:numFmt w:val="bullet"/>
      <w:lvlText w:val="−"/>
      <w:lvlJc w:val="left"/>
      <w:pPr>
        <w:tabs>
          <w:tab w:val="num" w:pos="5040"/>
        </w:tabs>
        <w:ind w:left="5040" w:hanging="360"/>
      </w:pPr>
      <w:rPr>
        <w:rFonts w:ascii="Calibre Regular" w:hAnsi="Calibre Regular" w:hint="default"/>
      </w:rPr>
    </w:lvl>
    <w:lvl w:ilvl="7" w:tplc="5B04FA16" w:tentative="1">
      <w:start w:val="1"/>
      <w:numFmt w:val="bullet"/>
      <w:lvlText w:val="−"/>
      <w:lvlJc w:val="left"/>
      <w:pPr>
        <w:tabs>
          <w:tab w:val="num" w:pos="5760"/>
        </w:tabs>
        <w:ind w:left="5760" w:hanging="360"/>
      </w:pPr>
      <w:rPr>
        <w:rFonts w:ascii="Calibre Regular" w:hAnsi="Calibre Regular" w:hint="default"/>
      </w:rPr>
    </w:lvl>
    <w:lvl w:ilvl="8" w:tplc="BBBA47BA"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22A3B"/>
    <w:multiLevelType w:val="hybridMultilevel"/>
    <w:tmpl w:val="C7AEDD30"/>
    <w:lvl w:ilvl="0" w:tplc="2BD620C2">
      <w:start w:val="1"/>
      <w:numFmt w:val="bullet"/>
      <w:lvlText w:val=""/>
      <w:lvlPicBulletId w:val="0"/>
      <w:lvlJc w:val="left"/>
      <w:pPr>
        <w:tabs>
          <w:tab w:val="num" w:pos="720"/>
        </w:tabs>
        <w:ind w:left="720" w:hanging="360"/>
      </w:pPr>
      <w:rPr>
        <w:rFonts w:ascii="Symbol" w:hAnsi="Symbol" w:hint="default"/>
      </w:rPr>
    </w:lvl>
    <w:lvl w:ilvl="1" w:tplc="FDDCA378">
      <w:start w:val="100"/>
      <w:numFmt w:val="bullet"/>
      <w:lvlText w:val="−"/>
      <w:lvlJc w:val="left"/>
      <w:pPr>
        <w:tabs>
          <w:tab w:val="num" w:pos="1440"/>
        </w:tabs>
        <w:ind w:left="1440" w:hanging="360"/>
      </w:pPr>
      <w:rPr>
        <w:rFonts w:ascii="Calibre Regular" w:hAnsi="Calibre Regular" w:hint="default"/>
      </w:rPr>
    </w:lvl>
    <w:lvl w:ilvl="2" w:tplc="B2E455D2">
      <w:start w:val="100"/>
      <w:numFmt w:val="bullet"/>
      <w:lvlText w:val="−"/>
      <w:lvlJc w:val="left"/>
      <w:pPr>
        <w:tabs>
          <w:tab w:val="num" w:pos="2160"/>
        </w:tabs>
        <w:ind w:left="2160" w:hanging="360"/>
      </w:pPr>
      <w:rPr>
        <w:rFonts w:ascii="Calibre Regular" w:hAnsi="Calibre Regular" w:hint="default"/>
      </w:rPr>
    </w:lvl>
    <w:lvl w:ilvl="3" w:tplc="D47AD266" w:tentative="1">
      <w:start w:val="1"/>
      <w:numFmt w:val="bullet"/>
      <w:lvlText w:val=""/>
      <w:lvlPicBulletId w:val="0"/>
      <w:lvlJc w:val="left"/>
      <w:pPr>
        <w:tabs>
          <w:tab w:val="num" w:pos="2880"/>
        </w:tabs>
        <w:ind w:left="2880" w:hanging="360"/>
      </w:pPr>
      <w:rPr>
        <w:rFonts w:ascii="Symbol" w:hAnsi="Symbol" w:hint="default"/>
      </w:rPr>
    </w:lvl>
    <w:lvl w:ilvl="4" w:tplc="2FBC9554" w:tentative="1">
      <w:start w:val="1"/>
      <w:numFmt w:val="bullet"/>
      <w:lvlText w:val=""/>
      <w:lvlPicBulletId w:val="0"/>
      <w:lvlJc w:val="left"/>
      <w:pPr>
        <w:tabs>
          <w:tab w:val="num" w:pos="3600"/>
        </w:tabs>
        <w:ind w:left="3600" w:hanging="360"/>
      </w:pPr>
      <w:rPr>
        <w:rFonts w:ascii="Symbol" w:hAnsi="Symbol" w:hint="default"/>
      </w:rPr>
    </w:lvl>
    <w:lvl w:ilvl="5" w:tplc="2CFC3C30" w:tentative="1">
      <w:start w:val="1"/>
      <w:numFmt w:val="bullet"/>
      <w:lvlText w:val=""/>
      <w:lvlPicBulletId w:val="0"/>
      <w:lvlJc w:val="left"/>
      <w:pPr>
        <w:tabs>
          <w:tab w:val="num" w:pos="4320"/>
        </w:tabs>
        <w:ind w:left="4320" w:hanging="360"/>
      </w:pPr>
      <w:rPr>
        <w:rFonts w:ascii="Symbol" w:hAnsi="Symbol" w:hint="default"/>
      </w:rPr>
    </w:lvl>
    <w:lvl w:ilvl="6" w:tplc="5836647E" w:tentative="1">
      <w:start w:val="1"/>
      <w:numFmt w:val="bullet"/>
      <w:lvlText w:val=""/>
      <w:lvlPicBulletId w:val="0"/>
      <w:lvlJc w:val="left"/>
      <w:pPr>
        <w:tabs>
          <w:tab w:val="num" w:pos="5040"/>
        </w:tabs>
        <w:ind w:left="5040" w:hanging="360"/>
      </w:pPr>
      <w:rPr>
        <w:rFonts w:ascii="Symbol" w:hAnsi="Symbol" w:hint="default"/>
      </w:rPr>
    </w:lvl>
    <w:lvl w:ilvl="7" w:tplc="ACF81BB6" w:tentative="1">
      <w:start w:val="1"/>
      <w:numFmt w:val="bullet"/>
      <w:lvlText w:val=""/>
      <w:lvlPicBulletId w:val="0"/>
      <w:lvlJc w:val="left"/>
      <w:pPr>
        <w:tabs>
          <w:tab w:val="num" w:pos="5760"/>
        </w:tabs>
        <w:ind w:left="5760" w:hanging="360"/>
      </w:pPr>
      <w:rPr>
        <w:rFonts w:ascii="Symbol" w:hAnsi="Symbol" w:hint="default"/>
      </w:rPr>
    </w:lvl>
    <w:lvl w:ilvl="8" w:tplc="803AC37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53389"/>
    <w:multiLevelType w:val="hybridMultilevel"/>
    <w:tmpl w:val="4BE6047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22"/>
  </w:num>
  <w:num w:numId="4">
    <w:abstractNumId w:val="2"/>
  </w:num>
  <w:num w:numId="5">
    <w:abstractNumId w:val="9"/>
  </w:num>
  <w:num w:numId="6">
    <w:abstractNumId w:val="32"/>
  </w:num>
  <w:num w:numId="7">
    <w:abstractNumId w:val="15"/>
  </w:num>
  <w:num w:numId="8">
    <w:abstractNumId w:val="16"/>
  </w:num>
  <w:num w:numId="9">
    <w:abstractNumId w:val="14"/>
  </w:num>
  <w:num w:numId="10">
    <w:abstractNumId w:val="24"/>
  </w:num>
  <w:num w:numId="11">
    <w:abstractNumId w:val="5"/>
  </w:num>
  <w:num w:numId="12">
    <w:abstractNumId w:val="10"/>
  </w:num>
  <w:num w:numId="13">
    <w:abstractNumId w:val="8"/>
  </w:num>
  <w:num w:numId="14">
    <w:abstractNumId w:val="7"/>
  </w:num>
  <w:num w:numId="15">
    <w:abstractNumId w:val="26"/>
  </w:num>
  <w:num w:numId="16">
    <w:abstractNumId w:val="35"/>
  </w:num>
  <w:num w:numId="17">
    <w:abstractNumId w:val="17"/>
  </w:num>
  <w:num w:numId="18">
    <w:abstractNumId w:val="25"/>
  </w:num>
  <w:num w:numId="19">
    <w:abstractNumId w:val="34"/>
  </w:num>
  <w:num w:numId="20">
    <w:abstractNumId w:val="23"/>
  </w:num>
  <w:num w:numId="21">
    <w:abstractNumId w:val="27"/>
  </w:num>
  <w:num w:numId="22">
    <w:abstractNumId w:val="33"/>
  </w:num>
  <w:num w:numId="23">
    <w:abstractNumId w:val="11"/>
  </w:num>
  <w:num w:numId="24">
    <w:abstractNumId w:val="20"/>
  </w:num>
  <w:num w:numId="25">
    <w:abstractNumId w:val="1"/>
  </w:num>
  <w:num w:numId="26">
    <w:abstractNumId w:val="29"/>
  </w:num>
  <w:num w:numId="27">
    <w:abstractNumId w:val="6"/>
  </w:num>
  <w:num w:numId="28">
    <w:abstractNumId w:val="12"/>
  </w:num>
  <w:num w:numId="29">
    <w:abstractNumId w:val="31"/>
  </w:num>
  <w:num w:numId="30">
    <w:abstractNumId w:val="4"/>
  </w:num>
  <w:num w:numId="31">
    <w:abstractNumId w:val="21"/>
  </w:num>
  <w:num w:numId="32">
    <w:abstractNumId w:val="0"/>
  </w:num>
  <w:num w:numId="33">
    <w:abstractNumId w:val="18"/>
  </w:num>
  <w:num w:numId="34">
    <w:abstractNumId w:val="28"/>
  </w:num>
  <w:num w:numId="35">
    <w:abstractNumId w:val="30"/>
  </w:num>
  <w:num w:numId="3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525"/>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BEE"/>
    <w:rsid w:val="00054D76"/>
    <w:rsid w:val="00054F5A"/>
    <w:rsid w:val="00055B35"/>
    <w:rsid w:val="0005602E"/>
    <w:rsid w:val="00056057"/>
    <w:rsid w:val="000565AE"/>
    <w:rsid w:val="000570A3"/>
    <w:rsid w:val="000570E2"/>
    <w:rsid w:val="0005759C"/>
    <w:rsid w:val="00057F6C"/>
    <w:rsid w:val="00060B9D"/>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12F"/>
    <w:rsid w:val="00077EB9"/>
    <w:rsid w:val="000801D8"/>
    <w:rsid w:val="00080783"/>
    <w:rsid w:val="0008205A"/>
    <w:rsid w:val="0008257A"/>
    <w:rsid w:val="00083322"/>
    <w:rsid w:val="00083500"/>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62EF"/>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18F"/>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BC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F55"/>
    <w:rsid w:val="00116F59"/>
    <w:rsid w:val="00117957"/>
    <w:rsid w:val="00117C13"/>
    <w:rsid w:val="00120545"/>
    <w:rsid w:val="00121412"/>
    <w:rsid w:val="00122E83"/>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A7"/>
    <w:rsid w:val="001344C1"/>
    <w:rsid w:val="0013521B"/>
    <w:rsid w:val="00135829"/>
    <w:rsid w:val="001358F4"/>
    <w:rsid w:val="00135911"/>
    <w:rsid w:val="00135E0A"/>
    <w:rsid w:val="0013612A"/>
    <w:rsid w:val="00136AAD"/>
    <w:rsid w:val="00136AF3"/>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23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0F0B"/>
    <w:rsid w:val="00161AEB"/>
    <w:rsid w:val="00162262"/>
    <w:rsid w:val="00162BD5"/>
    <w:rsid w:val="001630E4"/>
    <w:rsid w:val="001639BC"/>
    <w:rsid w:val="00164190"/>
    <w:rsid w:val="0016465B"/>
    <w:rsid w:val="001647FA"/>
    <w:rsid w:val="00164BBC"/>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0724"/>
    <w:rsid w:val="00181B3A"/>
    <w:rsid w:val="001820B2"/>
    <w:rsid w:val="001828E0"/>
    <w:rsid w:val="00183A98"/>
    <w:rsid w:val="00184E82"/>
    <w:rsid w:val="00185B95"/>
    <w:rsid w:val="00185E59"/>
    <w:rsid w:val="00187B13"/>
    <w:rsid w:val="001907C8"/>
    <w:rsid w:val="00191727"/>
    <w:rsid w:val="00191EBF"/>
    <w:rsid w:val="00191F2D"/>
    <w:rsid w:val="001925E5"/>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23B3"/>
    <w:rsid w:val="001B2993"/>
    <w:rsid w:val="001B2DDB"/>
    <w:rsid w:val="001B34E4"/>
    <w:rsid w:val="001B37A3"/>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1F1"/>
    <w:rsid w:val="001C488D"/>
    <w:rsid w:val="001C4FE8"/>
    <w:rsid w:val="001C558A"/>
    <w:rsid w:val="001C589B"/>
    <w:rsid w:val="001C58A6"/>
    <w:rsid w:val="001C598A"/>
    <w:rsid w:val="001C5CFC"/>
    <w:rsid w:val="001C5F88"/>
    <w:rsid w:val="001C6609"/>
    <w:rsid w:val="001C691D"/>
    <w:rsid w:val="001C6EB1"/>
    <w:rsid w:val="001C7427"/>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563"/>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45F8"/>
    <w:rsid w:val="00235F2E"/>
    <w:rsid w:val="00236F71"/>
    <w:rsid w:val="00237779"/>
    <w:rsid w:val="00237D3F"/>
    <w:rsid w:val="00237E83"/>
    <w:rsid w:val="002400D6"/>
    <w:rsid w:val="00242284"/>
    <w:rsid w:val="00242C9E"/>
    <w:rsid w:val="0024322F"/>
    <w:rsid w:val="0024353D"/>
    <w:rsid w:val="00243ACD"/>
    <w:rsid w:val="00244767"/>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A12"/>
    <w:rsid w:val="00263BC6"/>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56D5"/>
    <w:rsid w:val="0027598E"/>
    <w:rsid w:val="00275AD2"/>
    <w:rsid w:val="00276A51"/>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1EBB"/>
    <w:rsid w:val="002A205B"/>
    <w:rsid w:val="002A3668"/>
    <w:rsid w:val="002A53DF"/>
    <w:rsid w:val="002A544B"/>
    <w:rsid w:val="002B03CD"/>
    <w:rsid w:val="002B07BF"/>
    <w:rsid w:val="002B0805"/>
    <w:rsid w:val="002B0FD5"/>
    <w:rsid w:val="002B11A0"/>
    <w:rsid w:val="002B26D2"/>
    <w:rsid w:val="002B2C92"/>
    <w:rsid w:val="002B318B"/>
    <w:rsid w:val="002B3561"/>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225"/>
    <w:rsid w:val="002C6374"/>
    <w:rsid w:val="002C7B03"/>
    <w:rsid w:val="002D0657"/>
    <w:rsid w:val="002D08CA"/>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9E3"/>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5783B"/>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385"/>
    <w:rsid w:val="003848D9"/>
    <w:rsid w:val="00385DBB"/>
    <w:rsid w:val="00385E4A"/>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E26"/>
    <w:rsid w:val="003A0F88"/>
    <w:rsid w:val="003A12CF"/>
    <w:rsid w:val="003A1341"/>
    <w:rsid w:val="003A19E0"/>
    <w:rsid w:val="003A1C4F"/>
    <w:rsid w:val="003A1DD5"/>
    <w:rsid w:val="003A336B"/>
    <w:rsid w:val="003A41B3"/>
    <w:rsid w:val="003A42BB"/>
    <w:rsid w:val="003A5125"/>
    <w:rsid w:val="003A590E"/>
    <w:rsid w:val="003A5F1C"/>
    <w:rsid w:val="003A6D8E"/>
    <w:rsid w:val="003B0B4D"/>
    <w:rsid w:val="003B1041"/>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2D7F"/>
    <w:rsid w:val="003D31A3"/>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169A"/>
    <w:rsid w:val="003F1CEE"/>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347B"/>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68D"/>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98C"/>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860"/>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CE8"/>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608"/>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E15"/>
    <w:rsid w:val="00554999"/>
    <w:rsid w:val="005555A1"/>
    <w:rsid w:val="00556461"/>
    <w:rsid w:val="00557004"/>
    <w:rsid w:val="005570E7"/>
    <w:rsid w:val="00560546"/>
    <w:rsid w:val="00560C47"/>
    <w:rsid w:val="005612F8"/>
    <w:rsid w:val="00561A55"/>
    <w:rsid w:val="0056200F"/>
    <w:rsid w:val="00562276"/>
    <w:rsid w:val="005622DF"/>
    <w:rsid w:val="00563338"/>
    <w:rsid w:val="005639EE"/>
    <w:rsid w:val="00563B5A"/>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6D3C"/>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50FE"/>
    <w:rsid w:val="005A59CF"/>
    <w:rsid w:val="005A6CB4"/>
    <w:rsid w:val="005A704D"/>
    <w:rsid w:val="005A7ECD"/>
    <w:rsid w:val="005A7F72"/>
    <w:rsid w:val="005B097C"/>
    <w:rsid w:val="005B1CC4"/>
    <w:rsid w:val="005B1D3E"/>
    <w:rsid w:val="005B2EB8"/>
    <w:rsid w:val="005B33A1"/>
    <w:rsid w:val="005B3C05"/>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15FE"/>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E0010"/>
    <w:rsid w:val="005E0EAD"/>
    <w:rsid w:val="005E0EB3"/>
    <w:rsid w:val="005E1F47"/>
    <w:rsid w:val="005E260D"/>
    <w:rsid w:val="005E35FD"/>
    <w:rsid w:val="005E383F"/>
    <w:rsid w:val="005E5220"/>
    <w:rsid w:val="005E71D5"/>
    <w:rsid w:val="005E7698"/>
    <w:rsid w:val="005E77D7"/>
    <w:rsid w:val="005E7CAF"/>
    <w:rsid w:val="005F0931"/>
    <w:rsid w:val="005F0C46"/>
    <w:rsid w:val="005F1FE4"/>
    <w:rsid w:val="005F2AF8"/>
    <w:rsid w:val="005F371A"/>
    <w:rsid w:val="005F3F7F"/>
    <w:rsid w:val="005F4950"/>
    <w:rsid w:val="005F4A0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6C6F"/>
    <w:rsid w:val="00606FA6"/>
    <w:rsid w:val="00607079"/>
    <w:rsid w:val="00607ADE"/>
    <w:rsid w:val="00611218"/>
    <w:rsid w:val="00611C83"/>
    <w:rsid w:val="00612015"/>
    <w:rsid w:val="006122CF"/>
    <w:rsid w:val="0061286E"/>
    <w:rsid w:val="00612C73"/>
    <w:rsid w:val="006135B2"/>
    <w:rsid w:val="006144BB"/>
    <w:rsid w:val="00614CB4"/>
    <w:rsid w:val="00614EE6"/>
    <w:rsid w:val="006151F5"/>
    <w:rsid w:val="00615BDB"/>
    <w:rsid w:val="0061641A"/>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2EDC"/>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43A4"/>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1490"/>
    <w:rsid w:val="006730FA"/>
    <w:rsid w:val="00673D7C"/>
    <w:rsid w:val="00673FBF"/>
    <w:rsid w:val="00674460"/>
    <w:rsid w:val="006744FB"/>
    <w:rsid w:val="006755FF"/>
    <w:rsid w:val="00676867"/>
    <w:rsid w:val="00676A4B"/>
    <w:rsid w:val="00676C9B"/>
    <w:rsid w:val="00677E8D"/>
    <w:rsid w:val="00680837"/>
    <w:rsid w:val="00680A97"/>
    <w:rsid w:val="00680C3F"/>
    <w:rsid w:val="0068102D"/>
    <w:rsid w:val="00681803"/>
    <w:rsid w:val="0068226B"/>
    <w:rsid w:val="00682ED3"/>
    <w:rsid w:val="0068370B"/>
    <w:rsid w:val="00684BDE"/>
    <w:rsid w:val="00684FBD"/>
    <w:rsid w:val="00685535"/>
    <w:rsid w:val="00685D3B"/>
    <w:rsid w:val="00687817"/>
    <w:rsid w:val="0069008A"/>
    <w:rsid w:val="00690881"/>
    <w:rsid w:val="00692799"/>
    <w:rsid w:val="00692987"/>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2C02"/>
    <w:rsid w:val="006B3AD6"/>
    <w:rsid w:val="006B4F5B"/>
    <w:rsid w:val="006B5922"/>
    <w:rsid w:val="006B67DE"/>
    <w:rsid w:val="006B6C94"/>
    <w:rsid w:val="006B6E3E"/>
    <w:rsid w:val="006B788C"/>
    <w:rsid w:val="006B7CE3"/>
    <w:rsid w:val="006C0900"/>
    <w:rsid w:val="006C09DD"/>
    <w:rsid w:val="006C1EC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1B3"/>
    <w:rsid w:val="0073128B"/>
    <w:rsid w:val="007312CB"/>
    <w:rsid w:val="0073171A"/>
    <w:rsid w:val="007324FF"/>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F4B"/>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A2"/>
    <w:rsid w:val="007C5DB6"/>
    <w:rsid w:val="007C64BC"/>
    <w:rsid w:val="007C6714"/>
    <w:rsid w:val="007C675F"/>
    <w:rsid w:val="007C6835"/>
    <w:rsid w:val="007C7EF3"/>
    <w:rsid w:val="007D0118"/>
    <w:rsid w:val="007D014E"/>
    <w:rsid w:val="007D11B6"/>
    <w:rsid w:val="007D13C6"/>
    <w:rsid w:val="007D1B65"/>
    <w:rsid w:val="007D1B7C"/>
    <w:rsid w:val="007D2C12"/>
    <w:rsid w:val="007D2EE2"/>
    <w:rsid w:val="007D3460"/>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2A68"/>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364F"/>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AD1"/>
    <w:rsid w:val="008970B5"/>
    <w:rsid w:val="008971D9"/>
    <w:rsid w:val="008A0473"/>
    <w:rsid w:val="008A16AE"/>
    <w:rsid w:val="008A24BD"/>
    <w:rsid w:val="008A2593"/>
    <w:rsid w:val="008A29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CB0"/>
    <w:rsid w:val="008E5D5A"/>
    <w:rsid w:val="008E6240"/>
    <w:rsid w:val="008E6D2D"/>
    <w:rsid w:val="008E76F3"/>
    <w:rsid w:val="008E7A59"/>
    <w:rsid w:val="008E7A8F"/>
    <w:rsid w:val="008E7FDA"/>
    <w:rsid w:val="008F01AB"/>
    <w:rsid w:val="008F23C7"/>
    <w:rsid w:val="008F2A4E"/>
    <w:rsid w:val="008F3DC9"/>
    <w:rsid w:val="008F4107"/>
    <w:rsid w:val="008F4807"/>
    <w:rsid w:val="008F4BFE"/>
    <w:rsid w:val="008F4F27"/>
    <w:rsid w:val="008F50ED"/>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A3E"/>
    <w:rsid w:val="009108A7"/>
    <w:rsid w:val="00911E1A"/>
    <w:rsid w:val="009121F0"/>
    <w:rsid w:val="009123B9"/>
    <w:rsid w:val="009126A5"/>
    <w:rsid w:val="00912DDD"/>
    <w:rsid w:val="00913F4C"/>
    <w:rsid w:val="0091404B"/>
    <w:rsid w:val="0091423A"/>
    <w:rsid w:val="00914307"/>
    <w:rsid w:val="00914370"/>
    <w:rsid w:val="00914CA0"/>
    <w:rsid w:val="00914DE2"/>
    <w:rsid w:val="0091537E"/>
    <w:rsid w:val="00915DE0"/>
    <w:rsid w:val="00916CCF"/>
    <w:rsid w:val="0092053F"/>
    <w:rsid w:val="00920BC8"/>
    <w:rsid w:val="00921169"/>
    <w:rsid w:val="0092160E"/>
    <w:rsid w:val="009218D2"/>
    <w:rsid w:val="00921D14"/>
    <w:rsid w:val="00921D57"/>
    <w:rsid w:val="00921F94"/>
    <w:rsid w:val="00922076"/>
    <w:rsid w:val="00922316"/>
    <w:rsid w:val="0092237B"/>
    <w:rsid w:val="00922BFD"/>
    <w:rsid w:val="009232B5"/>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53FF"/>
    <w:rsid w:val="00935B7C"/>
    <w:rsid w:val="009365EB"/>
    <w:rsid w:val="00936F26"/>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6D8"/>
    <w:rsid w:val="00963CD6"/>
    <w:rsid w:val="009646FA"/>
    <w:rsid w:val="009654F0"/>
    <w:rsid w:val="00965664"/>
    <w:rsid w:val="00965EB7"/>
    <w:rsid w:val="00966519"/>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6A3"/>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6C5"/>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35F"/>
    <w:rsid w:val="00A104BA"/>
    <w:rsid w:val="00A10B48"/>
    <w:rsid w:val="00A11ACA"/>
    <w:rsid w:val="00A11E0F"/>
    <w:rsid w:val="00A12206"/>
    <w:rsid w:val="00A125BD"/>
    <w:rsid w:val="00A12BEE"/>
    <w:rsid w:val="00A13715"/>
    <w:rsid w:val="00A13A3E"/>
    <w:rsid w:val="00A14566"/>
    <w:rsid w:val="00A145D0"/>
    <w:rsid w:val="00A157EC"/>
    <w:rsid w:val="00A17345"/>
    <w:rsid w:val="00A1789B"/>
    <w:rsid w:val="00A178E7"/>
    <w:rsid w:val="00A203ED"/>
    <w:rsid w:val="00A205BF"/>
    <w:rsid w:val="00A2089C"/>
    <w:rsid w:val="00A20D0A"/>
    <w:rsid w:val="00A20EB0"/>
    <w:rsid w:val="00A2104B"/>
    <w:rsid w:val="00A210E9"/>
    <w:rsid w:val="00A213B0"/>
    <w:rsid w:val="00A21A1F"/>
    <w:rsid w:val="00A21AAA"/>
    <w:rsid w:val="00A21FEA"/>
    <w:rsid w:val="00A23DD3"/>
    <w:rsid w:val="00A2470A"/>
    <w:rsid w:val="00A2481C"/>
    <w:rsid w:val="00A2627F"/>
    <w:rsid w:val="00A26883"/>
    <w:rsid w:val="00A27173"/>
    <w:rsid w:val="00A30BAE"/>
    <w:rsid w:val="00A30C48"/>
    <w:rsid w:val="00A30D43"/>
    <w:rsid w:val="00A310D6"/>
    <w:rsid w:val="00A314A9"/>
    <w:rsid w:val="00A31591"/>
    <w:rsid w:val="00A31927"/>
    <w:rsid w:val="00A31BB3"/>
    <w:rsid w:val="00A321EE"/>
    <w:rsid w:val="00A324A3"/>
    <w:rsid w:val="00A325C2"/>
    <w:rsid w:val="00A32C37"/>
    <w:rsid w:val="00A3368E"/>
    <w:rsid w:val="00A33BBC"/>
    <w:rsid w:val="00A348AD"/>
    <w:rsid w:val="00A34AB8"/>
    <w:rsid w:val="00A3533F"/>
    <w:rsid w:val="00A3673E"/>
    <w:rsid w:val="00A37165"/>
    <w:rsid w:val="00A402CC"/>
    <w:rsid w:val="00A41C94"/>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523"/>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6DDD"/>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CA0"/>
    <w:rsid w:val="00AA6F9A"/>
    <w:rsid w:val="00AA7159"/>
    <w:rsid w:val="00AA76B1"/>
    <w:rsid w:val="00AA7A0E"/>
    <w:rsid w:val="00AB02C8"/>
    <w:rsid w:val="00AB07B0"/>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1FE5"/>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BEE"/>
    <w:rsid w:val="00B60D1C"/>
    <w:rsid w:val="00B60E6E"/>
    <w:rsid w:val="00B61E14"/>
    <w:rsid w:val="00B63A2F"/>
    <w:rsid w:val="00B63CF7"/>
    <w:rsid w:val="00B64484"/>
    <w:rsid w:val="00B65956"/>
    <w:rsid w:val="00B65E54"/>
    <w:rsid w:val="00B660A0"/>
    <w:rsid w:val="00B67D22"/>
    <w:rsid w:val="00B67EA8"/>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280"/>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4BE"/>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405E"/>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42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2CB9"/>
    <w:rsid w:val="00BF31CB"/>
    <w:rsid w:val="00BF4B69"/>
    <w:rsid w:val="00BF51F0"/>
    <w:rsid w:val="00BF60E3"/>
    <w:rsid w:val="00BF67D2"/>
    <w:rsid w:val="00BF70A1"/>
    <w:rsid w:val="00BF710E"/>
    <w:rsid w:val="00BF7982"/>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088"/>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BFA"/>
    <w:rsid w:val="00C37050"/>
    <w:rsid w:val="00C37D75"/>
    <w:rsid w:val="00C4018E"/>
    <w:rsid w:val="00C40FA9"/>
    <w:rsid w:val="00C41332"/>
    <w:rsid w:val="00C419A3"/>
    <w:rsid w:val="00C41B56"/>
    <w:rsid w:val="00C41D2B"/>
    <w:rsid w:val="00C444D9"/>
    <w:rsid w:val="00C44500"/>
    <w:rsid w:val="00C447FB"/>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4D97"/>
    <w:rsid w:val="00C6538B"/>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CC2"/>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3F2"/>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47B54"/>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0B8"/>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0F2"/>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913"/>
    <w:rsid w:val="00D82D20"/>
    <w:rsid w:val="00D84268"/>
    <w:rsid w:val="00D84515"/>
    <w:rsid w:val="00D84824"/>
    <w:rsid w:val="00D84F73"/>
    <w:rsid w:val="00D864E1"/>
    <w:rsid w:val="00D8666C"/>
    <w:rsid w:val="00D86B3B"/>
    <w:rsid w:val="00D876BB"/>
    <w:rsid w:val="00D8778A"/>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73F"/>
    <w:rsid w:val="00DA7BC7"/>
    <w:rsid w:val="00DB0564"/>
    <w:rsid w:val="00DB1539"/>
    <w:rsid w:val="00DB2014"/>
    <w:rsid w:val="00DB2146"/>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14B"/>
    <w:rsid w:val="00DC5A5E"/>
    <w:rsid w:val="00DC5CB8"/>
    <w:rsid w:val="00DC60E1"/>
    <w:rsid w:val="00DC6A94"/>
    <w:rsid w:val="00DC76BA"/>
    <w:rsid w:val="00DD132F"/>
    <w:rsid w:val="00DD1521"/>
    <w:rsid w:val="00DD1C2F"/>
    <w:rsid w:val="00DD1ED7"/>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89F"/>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2D2"/>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B35"/>
    <w:rsid w:val="00E63DB3"/>
    <w:rsid w:val="00E63F2E"/>
    <w:rsid w:val="00E645DC"/>
    <w:rsid w:val="00E650F1"/>
    <w:rsid w:val="00E65967"/>
    <w:rsid w:val="00E65EF0"/>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61E"/>
    <w:rsid w:val="00E87AE6"/>
    <w:rsid w:val="00E904A1"/>
    <w:rsid w:val="00E90FE7"/>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2B4"/>
    <w:rsid w:val="00EF0E50"/>
    <w:rsid w:val="00EF1FE3"/>
    <w:rsid w:val="00EF20FD"/>
    <w:rsid w:val="00EF220D"/>
    <w:rsid w:val="00EF2337"/>
    <w:rsid w:val="00EF2439"/>
    <w:rsid w:val="00EF36F3"/>
    <w:rsid w:val="00EF3A4A"/>
    <w:rsid w:val="00EF3B82"/>
    <w:rsid w:val="00EF3D43"/>
    <w:rsid w:val="00EF493B"/>
    <w:rsid w:val="00EF4F32"/>
    <w:rsid w:val="00EF66C2"/>
    <w:rsid w:val="00EF6848"/>
    <w:rsid w:val="00EF754B"/>
    <w:rsid w:val="00EF7CE1"/>
    <w:rsid w:val="00F000F0"/>
    <w:rsid w:val="00F00122"/>
    <w:rsid w:val="00F00923"/>
    <w:rsid w:val="00F009F4"/>
    <w:rsid w:val="00F00C9D"/>
    <w:rsid w:val="00F01090"/>
    <w:rsid w:val="00F01A06"/>
    <w:rsid w:val="00F01A58"/>
    <w:rsid w:val="00F023A1"/>
    <w:rsid w:val="00F02715"/>
    <w:rsid w:val="00F0301D"/>
    <w:rsid w:val="00F03891"/>
    <w:rsid w:val="00F046B1"/>
    <w:rsid w:val="00F04CF6"/>
    <w:rsid w:val="00F04ED5"/>
    <w:rsid w:val="00F05481"/>
    <w:rsid w:val="00F05BA0"/>
    <w:rsid w:val="00F05EED"/>
    <w:rsid w:val="00F062B0"/>
    <w:rsid w:val="00F06F02"/>
    <w:rsid w:val="00F077C0"/>
    <w:rsid w:val="00F0783A"/>
    <w:rsid w:val="00F07C4E"/>
    <w:rsid w:val="00F14351"/>
    <w:rsid w:val="00F15744"/>
    <w:rsid w:val="00F15A4F"/>
    <w:rsid w:val="00F165FE"/>
    <w:rsid w:val="00F16BB1"/>
    <w:rsid w:val="00F20046"/>
    <w:rsid w:val="00F2014D"/>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BCA"/>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1F07"/>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C22"/>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5A85"/>
    <w:rsid w:val="00FF5B2B"/>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20825">
      <w:bodyDiv w:val="1"/>
      <w:marLeft w:val="0"/>
      <w:marRight w:val="0"/>
      <w:marTop w:val="0"/>
      <w:marBottom w:val="0"/>
      <w:divBdr>
        <w:top w:val="none" w:sz="0" w:space="0" w:color="auto"/>
        <w:left w:val="none" w:sz="0" w:space="0" w:color="auto"/>
        <w:bottom w:val="none" w:sz="0" w:space="0" w:color="auto"/>
        <w:right w:val="none" w:sz="0" w:space="0" w:color="auto"/>
      </w:divBdr>
      <w:divsChild>
        <w:div w:id="1693720884">
          <w:marLeft w:val="547"/>
          <w:marRight w:val="0"/>
          <w:marTop w:val="96"/>
          <w:marBottom w:val="0"/>
          <w:divBdr>
            <w:top w:val="none" w:sz="0" w:space="0" w:color="auto"/>
            <w:left w:val="none" w:sz="0" w:space="0" w:color="auto"/>
            <w:bottom w:val="none" w:sz="0" w:space="0" w:color="auto"/>
            <w:right w:val="none" w:sz="0" w:space="0" w:color="auto"/>
          </w:divBdr>
        </w:div>
        <w:div w:id="1120420909">
          <w:marLeft w:val="1166"/>
          <w:marRight w:val="0"/>
          <w:marTop w:val="86"/>
          <w:marBottom w:val="0"/>
          <w:divBdr>
            <w:top w:val="none" w:sz="0" w:space="0" w:color="auto"/>
            <w:left w:val="none" w:sz="0" w:space="0" w:color="auto"/>
            <w:bottom w:val="none" w:sz="0" w:space="0" w:color="auto"/>
            <w:right w:val="none" w:sz="0" w:space="0" w:color="auto"/>
          </w:divBdr>
        </w:div>
        <w:div w:id="764158486">
          <w:marLeft w:val="1627"/>
          <w:marRight w:val="0"/>
          <w:marTop w:val="77"/>
          <w:marBottom w:val="0"/>
          <w:divBdr>
            <w:top w:val="none" w:sz="0" w:space="0" w:color="auto"/>
            <w:left w:val="none" w:sz="0" w:space="0" w:color="auto"/>
            <w:bottom w:val="none" w:sz="0" w:space="0" w:color="auto"/>
            <w:right w:val="none" w:sz="0" w:space="0" w:color="auto"/>
          </w:divBdr>
        </w:div>
        <w:div w:id="173501437">
          <w:marLeft w:val="1166"/>
          <w:marRight w:val="0"/>
          <w:marTop w:val="86"/>
          <w:marBottom w:val="0"/>
          <w:divBdr>
            <w:top w:val="none" w:sz="0" w:space="0" w:color="auto"/>
            <w:left w:val="none" w:sz="0" w:space="0" w:color="auto"/>
            <w:bottom w:val="none" w:sz="0" w:space="0" w:color="auto"/>
            <w:right w:val="none" w:sz="0" w:space="0" w:color="auto"/>
          </w:divBdr>
        </w:div>
        <w:div w:id="328096860">
          <w:marLeft w:val="1627"/>
          <w:marRight w:val="0"/>
          <w:marTop w:val="77"/>
          <w:marBottom w:val="0"/>
          <w:divBdr>
            <w:top w:val="none" w:sz="0" w:space="0" w:color="auto"/>
            <w:left w:val="none" w:sz="0" w:space="0" w:color="auto"/>
            <w:bottom w:val="none" w:sz="0" w:space="0" w:color="auto"/>
            <w:right w:val="none" w:sz="0" w:space="0" w:color="auto"/>
          </w:divBdr>
        </w:div>
        <w:div w:id="1927029201">
          <w:marLeft w:val="1166"/>
          <w:marRight w:val="0"/>
          <w:marTop w:val="86"/>
          <w:marBottom w:val="0"/>
          <w:divBdr>
            <w:top w:val="none" w:sz="0" w:space="0" w:color="auto"/>
            <w:left w:val="none" w:sz="0" w:space="0" w:color="auto"/>
            <w:bottom w:val="none" w:sz="0" w:space="0" w:color="auto"/>
            <w:right w:val="none" w:sz="0" w:space="0" w:color="auto"/>
          </w:divBdr>
        </w:div>
        <w:div w:id="669455869">
          <w:marLeft w:val="1627"/>
          <w:marRight w:val="0"/>
          <w:marTop w:val="77"/>
          <w:marBottom w:val="0"/>
          <w:divBdr>
            <w:top w:val="none" w:sz="0" w:space="0" w:color="auto"/>
            <w:left w:val="none" w:sz="0" w:space="0" w:color="auto"/>
            <w:bottom w:val="none" w:sz="0" w:space="0" w:color="auto"/>
            <w:right w:val="none" w:sz="0" w:space="0" w:color="auto"/>
          </w:divBdr>
        </w:div>
        <w:div w:id="1402287563">
          <w:marLeft w:val="1627"/>
          <w:marRight w:val="0"/>
          <w:marTop w:val="77"/>
          <w:marBottom w:val="0"/>
          <w:divBdr>
            <w:top w:val="none" w:sz="0" w:space="0" w:color="auto"/>
            <w:left w:val="none" w:sz="0" w:space="0" w:color="auto"/>
            <w:bottom w:val="none" w:sz="0" w:space="0" w:color="auto"/>
            <w:right w:val="none" w:sz="0" w:space="0" w:color="auto"/>
          </w:divBdr>
        </w:div>
        <w:div w:id="1592934966">
          <w:marLeft w:val="1166"/>
          <w:marRight w:val="0"/>
          <w:marTop w:val="8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81673439">
      <w:bodyDiv w:val="1"/>
      <w:marLeft w:val="0"/>
      <w:marRight w:val="0"/>
      <w:marTop w:val="0"/>
      <w:marBottom w:val="0"/>
      <w:divBdr>
        <w:top w:val="none" w:sz="0" w:space="0" w:color="auto"/>
        <w:left w:val="none" w:sz="0" w:space="0" w:color="auto"/>
        <w:bottom w:val="none" w:sz="0" w:space="0" w:color="auto"/>
        <w:right w:val="none" w:sz="0" w:space="0" w:color="auto"/>
      </w:divBdr>
      <w:divsChild>
        <w:div w:id="1056276197">
          <w:marLeft w:val="1166"/>
          <w:marRight w:val="0"/>
          <w:marTop w:val="86"/>
          <w:marBottom w:val="0"/>
          <w:divBdr>
            <w:top w:val="none" w:sz="0" w:space="0" w:color="auto"/>
            <w:left w:val="none" w:sz="0" w:space="0" w:color="auto"/>
            <w:bottom w:val="none" w:sz="0" w:space="0" w:color="auto"/>
            <w:right w:val="none" w:sz="0" w:space="0" w:color="auto"/>
          </w:divBdr>
        </w:div>
        <w:div w:id="149836880">
          <w:marLeft w:val="1627"/>
          <w:marRight w:val="0"/>
          <w:marTop w:val="77"/>
          <w:marBottom w:val="0"/>
          <w:divBdr>
            <w:top w:val="none" w:sz="0" w:space="0" w:color="auto"/>
            <w:left w:val="none" w:sz="0" w:space="0" w:color="auto"/>
            <w:bottom w:val="none" w:sz="0" w:space="0" w:color="auto"/>
            <w:right w:val="none" w:sz="0" w:space="0" w:color="auto"/>
          </w:divBdr>
        </w:div>
        <w:div w:id="826478758">
          <w:marLeft w:val="1627"/>
          <w:marRight w:val="0"/>
          <w:marTop w:val="77"/>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HR33RHYHUWRF-4-1719</_dlc_DocId>
    <_dlc_DocIdUrl xmlns="c06861ca-3f08-4d07-bff7-bb15bac121f4">
      <Url>https://projects.qualcomm.com/sites/pentari/_layouts/15/DocIdRedir.aspx?ID=HR33RHYHUWRF-4-1719</Url>
      <Description>HR33RHYHUWRF-4-1719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84525450-0F88-4D97-9DAF-255111515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73FF4763-1B71-4981-9C47-271E9FDD2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5</cp:revision>
  <cp:lastPrinted>2016-09-30T21:38:00Z</cp:lastPrinted>
  <dcterms:created xsi:type="dcterms:W3CDTF">2017-05-03T17:35:00Z</dcterms:created>
  <dcterms:modified xsi:type="dcterms:W3CDTF">2017-05-06T00:55:00Z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195354630</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b51361a7-9edc-4b8a-8641-6a5ee0257a3a</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1439269402</vt:i4>
  </property>
  <property fmtid="{D5CDD505-2E9C-101B-9397-08002B2CF9AE}" pid="12" name="_ReviewingToolsShownOnce">
    <vt:lpwstr/>
  </property>
</Properties>
</file>